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proofErr w:type="spellStart"/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>Procurement</w:t>
      </w:r>
      <w:proofErr w:type="spellEnd"/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</w:t>
      </w:r>
      <w:proofErr w:type="spellStart"/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>Notice</w:t>
      </w:r>
      <w:proofErr w:type="spellEnd"/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</w:t>
      </w:r>
      <w:proofErr w:type="spellStart"/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>Authorities</w:t>
      </w:r>
      <w:proofErr w:type="spellEnd"/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9629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3534"/>
        <w:gridCol w:w="6095"/>
      </w:tblGrid>
      <w:tr w:rsidR="008B26A1" w:rsidRPr="008B26A1" w14:paraId="7B9ECED3" w14:textId="77777777" w:rsidTr="005504F9">
        <w:tc>
          <w:tcPr>
            <w:tcW w:w="3534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Jems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code:</w:t>
            </w:r>
          </w:p>
        </w:tc>
        <w:tc>
          <w:tcPr>
            <w:tcW w:w="6095" w:type="dxa"/>
          </w:tcPr>
          <w:p w14:paraId="3E4F19D5" w14:textId="12EE11F1" w:rsidR="008B26A1" w:rsidRPr="008B26A1" w:rsidRDefault="00EB43B3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RORS00040</w:t>
            </w:r>
          </w:p>
        </w:tc>
      </w:tr>
      <w:tr w:rsidR="008B26A1" w:rsidRPr="008B26A1" w14:paraId="61A15F9D" w14:textId="77777777" w:rsidTr="005504F9">
        <w:tc>
          <w:tcPr>
            <w:tcW w:w="3534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Beneficiary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name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(in Romanian):</w:t>
            </w:r>
          </w:p>
        </w:tc>
        <w:tc>
          <w:tcPr>
            <w:tcW w:w="6095" w:type="dxa"/>
          </w:tcPr>
          <w:p w14:paraId="2C7DEC69" w14:textId="7D10EB39" w:rsidR="00455827" w:rsidRDefault="00EB43B3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Spitalul Clinic Județean de Urgență „Pius Brînzeu” </w:t>
            </w:r>
            <w:r w:rsidR="00455827">
              <w:rPr>
                <w:rFonts w:ascii="Open Sans" w:hAnsi="Open Sans" w:cs="Open Sans"/>
                <w:sz w:val="22"/>
                <w:szCs w:val="22"/>
                <w:lang w:val="ro-RO"/>
              </w:rPr>
              <w:t>Timi</w:t>
            </w:r>
            <w:r w:rsidR="006C5739">
              <w:rPr>
                <w:rFonts w:ascii="Open Sans" w:hAnsi="Open Sans" w:cs="Open Sans"/>
                <w:sz w:val="22"/>
                <w:szCs w:val="22"/>
                <w:lang w:val="ro-RO"/>
              </w:rPr>
              <w:t>ș</w:t>
            </w:r>
            <w:r w:rsidR="00455827">
              <w:rPr>
                <w:rFonts w:ascii="Open Sans" w:hAnsi="Open Sans" w:cs="Open Sans"/>
                <w:sz w:val="22"/>
                <w:szCs w:val="22"/>
                <w:lang w:val="ro-RO"/>
              </w:rPr>
              <w:t>oara</w:t>
            </w:r>
          </w:p>
          <w:p w14:paraId="1AA25B9D" w14:textId="29E915E7" w:rsidR="008B26A1" w:rsidRPr="008B26A1" w:rsidRDefault="00455827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45582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Cod fiscal: </w:t>
            </w:r>
            <w:r w:rsidR="00EB43B3">
              <w:rPr>
                <w:rFonts w:ascii="Open Sans" w:hAnsi="Open Sans" w:cs="Open Sans"/>
                <w:sz w:val="22"/>
                <w:szCs w:val="22"/>
                <w:lang w:val="ro-RO"/>
              </w:rPr>
              <w:t>4663448</w:t>
            </w:r>
          </w:p>
        </w:tc>
      </w:tr>
      <w:tr w:rsidR="008B26A1" w:rsidRPr="008B26A1" w14:paraId="47AB6EFA" w14:textId="77777777" w:rsidTr="005504F9">
        <w:tc>
          <w:tcPr>
            <w:tcW w:w="3534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Contact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details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>:</w:t>
            </w:r>
          </w:p>
        </w:tc>
        <w:tc>
          <w:tcPr>
            <w:tcW w:w="6095" w:type="dxa"/>
          </w:tcPr>
          <w:p w14:paraId="0B9E017A" w14:textId="7DA1305E" w:rsidR="008B26A1" w:rsidRPr="008B26A1" w:rsidRDefault="00780EF0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Timi</w:t>
            </w:r>
            <w:r w:rsidR="00EB43B3">
              <w:rPr>
                <w:rFonts w:ascii="Open Sans" w:hAnsi="Open Sans" w:cs="Open Sans"/>
                <w:sz w:val="22"/>
                <w:szCs w:val="22"/>
                <w:lang w:val="ro-RO"/>
              </w:rPr>
              <w:t>ș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oara, </w:t>
            </w:r>
            <w:r w:rsid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156 Liviu Rebreanu </w:t>
            </w:r>
            <w:proofErr w:type="spellStart"/>
            <w:r w:rsidR="00EB43B3">
              <w:rPr>
                <w:rFonts w:ascii="Open Sans" w:hAnsi="Open Sans" w:cs="Open Sans"/>
                <w:sz w:val="22"/>
                <w:szCs w:val="22"/>
                <w:lang w:val="ro-RO"/>
              </w:rPr>
              <w:t>Blvd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,</w:t>
            </w:r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8E2AF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Romania, </w:t>
            </w:r>
            <w:proofErr w:type="spellStart"/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phone</w:t>
            </w:r>
            <w:proofErr w:type="spellEnd"/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number</w:t>
            </w:r>
            <w:proofErr w:type="spellEnd"/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  <w:r w:rsidR="000D3C1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EB43B3">
              <w:rPr>
                <w:rFonts w:ascii="Open Sans" w:hAnsi="Open Sans" w:cs="Open Sans"/>
                <w:sz w:val="22"/>
                <w:szCs w:val="22"/>
                <w:lang w:val="ro-RO"/>
              </w:rPr>
              <w:t>0040 – 724 309 379</w:t>
            </w:r>
          </w:p>
        </w:tc>
      </w:tr>
      <w:tr w:rsidR="008B26A1" w:rsidRPr="008B26A1" w14:paraId="2A46139B" w14:textId="77777777" w:rsidTr="005504F9">
        <w:tc>
          <w:tcPr>
            <w:tcW w:w="3534" w:type="dxa"/>
          </w:tcPr>
          <w:p w14:paraId="16CD3581" w14:textId="61CEBD03" w:rsidR="008B26A1" w:rsidRPr="0064788E" w:rsidRDefault="008B26A1" w:rsidP="00EB43B3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Estimated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date of direct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purchase</w:t>
            </w:r>
            <w:proofErr w:type="spellEnd"/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14:paraId="598A50AE" w14:textId="063479BF" w:rsidR="008B26A1" w:rsidRPr="009324C1" w:rsidRDefault="009E4F89" w:rsidP="0046605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9324C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0365A9" w:rsidRPr="009324C1">
              <w:rPr>
                <w:rFonts w:ascii="Open Sans" w:hAnsi="Open Sans" w:cs="Open Sans"/>
                <w:sz w:val="22"/>
                <w:szCs w:val="22"/>
                <w:lang w:val="ro-RO"/>
              </w:rPr>
              <w:t>2</w:t>
            </w:r>
            <w:r w:rsidR="009324C1" w:rsidRPr="009324C1">
              <w:rPr>
                <w:rFonts w:ascii="Open Sans" w:hAnsi="Open Sans" w:cs="Open Sans"/>
                <w:sz w:val="22"/>
                <w:szCs w:val="22"/>
                <w:lang w:val="ro-RO"/>
              </w:rPr>
              <w:t>9</w:t>
            </w:r>
            <w:r w:rsidR="00EB43B3" w:rsidRPr="009324C1">
              <w:rPr>
                <w:rFonts w:ascii="Open Sans" w:hAnsi="Open Sans" w:cs="Open Sans"/>
                <w:sz w:val="22"/>
                <w:szCs w:val="22"/>
                <w:lang w:val="ro-RO"/>
              </w:rPr>
              <w:t>.01.2025</w:t>
            </w:r>
          </w:p>
        </w:tc>
      </w:tr>
      <w:tr w:rsidR="008B26A1" w:rsidRPr="008B26A1" w14:paraId="65AEA1E2" w14:textId="77777777" w:rsidTr="005504F9">
        <w:tc>
          <w:tcPr>
            <w:tcW w:w="3534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Estimated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date for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submission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of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offers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>:</w:t>
            </w:r>
          </w:p>
        </w:tc>
        <w:tc>
          <w:tcPr>
            <w:tcW w:w="6095" w:type="dxa"/>
          </w:tcPr>
          <w:p w14:paraId="6918562B" w14:textId="0AD4116F" w:rsidR="009E4F89" w:rsidRPr="008B26A1" w:rsidRDefault="00DA034E" w:rsidP="00EB43B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050996">
              <w:rPr>
                <w:rFonts w:ascii="Open Sans" w:hAnsi="Open Sans" w:cs="Open Sans"/>
                <w:sz w:val="22"/>
                <w:szCs w:val="22"/>
                <w:lang w:val="ro-RO"/>
              </w:rPr>
              <w:t>05</w:t>
            </w:r>
            <w:r w:rsidR="00BB2294">
              <w:rPr>
                <w:rFonts w:ascii="Open Sans" w:hAnsi="Open Sans" w:cs="Open Sans"/>
                <w:sz w:val="22"/>
                <w:szCs w:val="22"/>
                <w:lang w:val="ro-RO"/>
              </w:rPr>
              <w:t>.0</w:t>
            </w:r>
            <w:r w:rsidR="00050996">
              <w:rPr>
                <w:rFonts w:ascii="Open Sans" w:hAnsi="Open Sans" w:cs="Open Sans"/>
                <w:sz w:val="22"/>
                <w:szCs w:val="22"/>
                <w:lang w:val="ro-RO"/>
              </w:rPr>
              <w:t>2</w:t>
            </w:r>
            <w:r w:rsidR="00BB2294">
              <w:rPr>
                <w:rFonts w:ascii="Open Sans" w:hAnsi="Open Sans" w:cs="Open Sans"/>
                <w:sz w:val="22"/>
                <w:szCs w:val="22"/>
                <w:lang w:val="ro-RO"/>
              </w:rPr>
              <w:t>.202</w:t>
            </w:r>
            <w:r w:rsidR="00642E8C">
              <w:rPr>
                <w:rFonts w:ascii="Open Sans" w:hAnsi="Open Sans" w:cs="Open Sans"/>
                <w:sz w:val="22"/>
                <w:szCs w:val="22"/>
                <w:lang w:val="ro-RO"/>
              </w:rPr>
              <w:t>5</w:t>
            </w:r>
          </w:p>
        </w:tc>
      </w:tr>
      <w:tr w:rsidR="008B26A1" w:rsidRPr="008B26A1" w14:paraId="31977CA3" w14:textId="77777777" w:rsidTr="005504F9">
        <w:tc>
          <w:tcPr>
            <w:tcW w:w="3534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Name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of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the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procurement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>:</w:t>
            </w:r>
          </w:p>
        </w:tc>
        <w:tc>
          <w:tcPr>
            <w:tcW w:w="6095" w:type="dxa"/>
          </w:tcPr>
          <w:p w14:paraId="47B62432" w14:textId="03B6CC6C" w:rsidR="00455827" w:rsidRPr="008B26A1" w:rsidRDefault="00EB43B3" w:rsidP="0046605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Procurement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of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services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for </w:t>
            </w:r>
            <w:proofErr w:type="spellStart"/>
            <w:r w:rsidR="000365A9">
              <w:rPr>
                <w:rFonts w:ascii="Open Sans" w:hAnsi="Open Sans" w:cs="Open Sans"/>
                <w:sz w:val="22"/>
                <w:szCs w:val="22"/>
                <w:lang w:val="ro-RO"/>
              </w:rPr>
              <w:t>hosting</w:t>
            </w:r>
            <w:proofErr w:type="spellEnd"/>
            <w:r w:rsidR="000365A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design </w:t>
            </w:r>
            <w:proofErr w:type="spellStart"/>
            <w:r w:rsidR="000365A9">
              <w:rPr>
                <w:rFonts w:ascii="Open Sans" w:hAnsi="Open Sans" w:cs="Open Sans"/>
                <w:sz w:val="22"/>
                <w:szCs w:val="22"/>
                <w:lang w:val="ro-RO"/>
              </w:rPr>
              <w:t>and</w:t>
            </w:r>
            <w:proofErr w:type="spellEnd"/>
            <w:r w:rsidR="000365A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update of </w:t>
            </w:r>
            <w:proofErr w:type="spellStart"/>
            <w:r w:rsidR="000365A9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="000365A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website of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0365A9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„Cross-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border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cooperation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to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foster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resilience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of 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clinical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management in cancer 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patients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by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establishing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best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practices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in 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personalized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molecular-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based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diagnostics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treatment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and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long-term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care”</w:t>
            </w:r>
            <w:r w:rsidR="000365A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0365A9">
              <w:rPr>
                <w:rFonts w:ascii="Open Sans" w:hAnsi="Open Sans" w:cs="Open Sans"/>
                <w:sz w:val="22"/>
                <w:szCs w:val="22"/>
                <w:lang w:val="ro-RO"/>
              </w:rPr>
              <w:t>project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acron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y</w:t>
            </w:r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>m</w:t>
            </w:r>
            <w:proofErr w:type="spellEnd"/>
            <w:r w:rsidRPr="00EB43B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CROSSCARE</w:t>
            </w:r>
          </w:p>
        </w:tc>
      </w:tr>
      <w:tr w:rsidR="008B26A1" w:rsidRPr="008B26A1" w14:paraId="6C37B328" w14:textId="77777777" w:rsidTr="005504F9">
        <w:tc>
          <w:tcPr>
            <w:tcW w:w="3534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Short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description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of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the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procurement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>:</w:t>
            </w:r>
          </w:p>
        </w:tc>
        <w:tc>
          <w:tcPr>
            <w:tcW w:w="6095" w:type="dxa"/>
          </w:tcPr>
          <w:p w14:paraId="72A8D641" w14:textId="6CD6A367" w:rsidR="00E34ED8" w:rsidRPr="00130DFF" w:rsidRDefault="00E34ED8" w:rsidP="00130DFF">
            <w:pPr>
              <w:jc w:val="both"/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</w:pPr>
            <w:proofErr w:type="spellStart"/>
            <w:r w:rsidRPr="00E34ED8"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>Hosting</w:t>
            </w:r>
            <w:proofErr w:type="spellEnd"/>
          </w:p>
          <w:p w14:paraId="52305EAB" w14:textId="4A2DAD81" w:rsidR="00E34ED8" w:rsidRPr="00E34ED8" w:rsidRDefault="00E34ED8" w:rsidP="00E34ED8">
            <w:p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The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Provider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will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provide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web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hosting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services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until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conclusion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of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contract. The website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will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be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operational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for at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least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5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years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after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project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completion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date (27.11.2026).</w:t>
            </w:r>
          </w:p>
          <w:p w14:paraId="04B4E397" w14:textId="4C2FBDB8" w:rsidR="00E34ED8" w:rsidRDefault="00E34ED8" w:rsidP="00E34ED8">
            <w:p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E34ED8"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>Design</w:t>
            </w:r>
          </w:p>
          <w:p w14:paraId="72A0255B" w14:textId="23B6C278" w:rsidR="00E34ED8" w:rsidRPr="00E34ED8" w:rsidRDefault="00721A28" w:rsidP="00130DFF">
            <w:p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The website</w:t>
            </w:r>
            <w:r w:rsidR="00130DF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will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have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3 </w:t>
            </w:r>
            <w:proofErr w:type="spellStart"/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sections</w:t>
            </w:r>
            <w:proofErr w:type="spellEnd"/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E34ED8">
              <w:rPr>
                <w:rFonts w:ascii="Open Sans" w:hAnsi="Open Sans" w:cs="Open Sans"/>
                <w:sz w:val="22"/>
                <w:szCs w:val="22"/>
                <w:lang w:val="ro-RO"/>
              </w:rPr>
              <w:t>(</w:t>
            </w:r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Romanian, English </w:t>
            </w:r>
            <w:proofErr w:type="spellStart"/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and</w:t>
            </w:r>
            <w:proofErr w:type="spellEnd"/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Serbian</w:t>
            </w:r>
            <w:proofErr w:type="spellEnd"/>
            <w:r w:rsidR="00E34ED8">
              <w:rPr>
                <w:rFonts w:ascii="Open Sans" w:hAnsi="Open Sans" w:cs="Open Sans"/>
                <w:sz w:val="22"/>
                <w:szCs w:val="22"/>
                <w:lang w:val="ro-RO"/>
              </w:rPr>
              <w:t>)</w:t>
            </w:r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  <w:proofErr w:type="spellStart"/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all</w:t>
            </w:r>
            <w:proofErr w:type="spellEnd"/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with</w:t>
            </w:r>
            <w:proofErr w:type="spellEnd"/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same </w:t>
            </w:r>
            <w:proofErr w:type="spellStart"/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structure</w:t>
            </w:r>
            <w:proofErr w:type="spellEnd"/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and</w:t>
            </w:r>
            <w:proofErr w:type="spellEnd"/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content</w:t>
            </w:r>
            <w:r w:rsidR="00130DF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; </w:t>
            </w:r>
            <w:proofErr w:type="spellStart"/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presentation</w:t>
            </w:r>
            <w:proofErr w:type="spellEnd"/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  <w:proofErr w:type="spellStart"/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search</w:t>
            </w:r>
            <w:proofErr w:type="spellEnd"/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and</w:t>
            </w:r>
            <w:proofErr w:type="spellEnd"/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administration</w:t>
            </w:r>
            <w:proofErr w:type="spellEnd"/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functionalities</w:t>
            </w:r>
            <w:proofErr w:type="spellEnd"/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;</w:t>
            </w:r>
            <w:r w:rsidR="00130DF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will</w:t>
            </w:r>
            <w:proofErr w:type="spellEnd"/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be</w:t>
            </w:r>
            <w:proofErr w:type="spellEnd"/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compatible</w:t>
            </w:r>
            <w:proofErr w:type="spellEnd"/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on </w:t>
            </w:r>
            <w:proofErr w:type="spellStart"/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both</w:t>
            </w:r>
            <w:proofErr w:type="spellEnd"/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desktop </w:t>
            </w:r>
            <w:proofErr w:type="spellStart"/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and</w:t>
            </w:r>
            <w:proofErr w:type="spellEnd"/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mobile</w:t>
            </w:r>
            <w:r w:rsidR="00A8752C">
              <w:rPr>
                <w:rFonts w:ascii="Open Sans" w:hAnsi="Open Sans" w:cs="Open Sans"/>
                <w:sz w:val="22"/>
                <w:szCs w:val="22"/>
                <w:lang w:val="ro-RO"/>
              </w:rPr>
              <w:t>;</w:t>
            </w:r>
            <w:r w:rsidR="00130DF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will</w:t>
            </w:r>
            <w:proofErr w:type="spellEnd"/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comply</w:t>
            </w:r>
            <w:proofErr w:type="spellEnd"/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with</w:t>
            </w:r>
            <w:proofErr w:type="spellEnd"/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visibility</w:t>
            </w:r>
            <w:proofErr w:type="spellEnd"/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requirements</w:t>
            </w:r>
            <w:proofErr w:type="spellEnd"/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of </w:t>
            </w:r>
            <w:proofErr w:type="spellStart"/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Interreg</w:t>
            </w:r>
            <w:proofErr w:type="spellEnd"/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IPA Romania – Serbia </w:t>
            </w:r>
            <w:proofErr w:type="spellStart"/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programme</w:t>
            </w:r>
            <w:proofErr w:type="spellEnd"/>
            <w:r w:rsidR="00E34ED8"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  <w:r w:rsidR="00A8752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At </w:t>
            </w:r>
            <w:proofErr w:type="spellStart"/>
            <w:r w:rsidR="00A8752C">
              <w:rPr>
                <w:rFonts w:ascii="Open Sans" w:hAnsi="Open Sans" w:cs="Open Sans"/>
                <w:sz w:val="22"/>
                <w:szCs w:val="22"/>
                <w:lang w:val="ro-RO"/>
              </w:rPr>
              <w:t>least</w:t>
            </w:r>
            <w:proofErr w:type="spellEnd"/>
            <w:r w:rsidR="00A8752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2</w:t>
            </w:r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design </w:t>
            </w:r>
            <w:proofErr w:type="spellStart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>proposals</w:t>
            </w:r>
            <w:proofErr w:type="spellEnd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>will</w:t>
            </w:r>
            <w:proofErr w:type="spellEnd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>be</w:t>
            </w:r>
            <w:proofErr w:type="spellEnd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>submitted</w:t>
            </w:r>
            <w:proofErr w:type="spellEnd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  <w:proofErr w:type="spellStart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>with</w:t>
            </w:r>
            <w:proofErr w:type="spellEnd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>Contracting</w:t>
            </w:r>
            <w:proofErr w:type="spellEnd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>Authority</w:t>
            </w:r>
            <w:proofErr w:type="spellEnd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>deciding</w:t>
            </w:r>
            <w:proofErr w:type="spellEnd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on </w:t>
            </w:r>
            <w:proofErr w:type="spellStart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>use</w:t>
            </w:r>
            <w:proofErr w:type="spellEnd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of </w:t>
            </w:r>
            <w:proofErr w:type="spellStart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>one</w:t>
            </w:r>
            <w:proofErr w:type="spellEnd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>variant</w:t>
            </w:r>
            <w:proofErr w:type="spellEnd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or a </w:t>
            </w:r>
            <w:proofErr w:type="spellStart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>combination</w:t>
            </w:r>
            <w:proofErr w:type="spellEnd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of </w:t>
            </w:r>
            <w:proofErr w:type="spellStart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>proposed</w:t>
            </w:r>
            <w:proofErr w:type="spellEnd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>variants</w:t>
            </w:r>
            <w:proofErr w:type="spellEnd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. The </w:t>
            </w:r>
            <w:proofErr w:type="spellStart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>Contracting</w:t>
            </w:r>
            <w:proofErr w:type="spellEnd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>Authority</w:t>
            </w:r>
            <w:proofErr w:type="spellEnd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>reserves</w:t>
            </w:r>
            <w:proofErr w:type="spellEnd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>right</w:t>
            </w:r>
            <w:proofErr w:type="spellEnd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>to</w:t>
            </w:r>
            <w:proofErr w:type="spellEnd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>reject</w:t>
            </w:r>
            <w:proofErr w:type="spellEnd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>proposed</w:t>
            </w:r>
            <w:proofErr w:type="spellEnd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>variants</w:t>
            </w:r>
            <w:proofErr w:type="spellEnd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>and</w:t>
            </w:r>
            <w:proofErr w:type="spellEnd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>request</w:t>
            </w:r>
            <w:proofErr w:type="spellEnd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a </w:t>
            </w:r>
            <w:proofErr w:type="spellStart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>new</w:t>
            </w:r>
            <w:proofErr w:type="spellEnd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>variant</w:t>
            </w:r>
            <w:proofErr w:type="spellEnd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  <w:proofErr w:type="spellStart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>indicating</w:t>
            </w:r>
            <w:proofErr w:type="spellEnd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design </w:t>
            </w:r>
            <w:proofErr w:type="spellStart"/>
            <w:r w:rsidR="00A8752C" w:rsidRPr="00A8752C">
              <w:rPr>
                <w:rFonts w:ascii="Open Sans" w:hAnsi="Open Sans" w:cs="Open Sans"/>
                <w:sz w:val="22"/>
                <w:szCs w:val="22"/>
                <w:lang w:val="ro-RO"/>
              </w:rPr>
              <w:t>requirements</w:t>
            </w:r>
            <w:proofErr w:type="spellEnd"/>
          </w:p>
          <w:p w14:paraId="3B8E9C56" w14:textId="6D6C5953" w:rsidR="00E34ED8" w:rsidRPr="00E34ED8" w:rsidRDefault="00E34ED8" w:rsidP="00E34ED8">
            <w:p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1A28"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 xml:space="preserve">Content </w:t>
            </w:r>
            <w:proofErr w:type="spellStart"/>
            <w:r w:rsidRPr="00721A28"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>and</w:t>
            </w:r>
            <w:proofErr w:type="spellEnd"/>
            <w:r w:rsidRPr="00721A28"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21A28"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>updat</w:t>
            </w:r>
            <w:r w:rsidR="00721A28"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>es</w:t>
            </w:r>
            <w:proofErr w:type="spellEnd"/>
          </w:p>
          <w:p w14:paraId="7E799095" w14:textId="0F1330C5" w:rsidR="00E34ED8" w:rsidRPr="00E34ED8" w:rsidRDefault="00E34ED8" w:rsidP="00721A28">
            <w:p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• The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Contracting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Authority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will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provide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information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to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publish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and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supplier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will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edit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texts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and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record / film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audio-video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materials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at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request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of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Contracting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Authority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</w:p>
          <w:p w14:paraId="18ACAE86" w14:textId="46B906AB" w:rsidR="00E34ED8" w:rsidRPr="00E34ED8" w:rsidRDefault="00E34ED8" w:rsidP="003200E2">
            <w:p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• The website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will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have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a contact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form</w:t>
            </w:r>
            <w:proofErr w:type="spellEnd"/>
            <w:r w:rsidR="003200E2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</w:p>
          <w:p w14:paraId="33B0110A" w14:textId="5F2B9A69" w:rsidR="00E34ED8" w:rsidRPr="00E34ED8" w:rsidRDefault="00E34ED8" w:rsidP="00E34ED8">
            <w:p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• An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internal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search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engine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will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be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integrated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into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site</w:t>
            </w:r>
            <w:r w:rsidR="00721A28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</w:p>
          <w:p w14:paraId="4ECEDEBA" w14:textId="43419F91" w:rsidR="00E34ED8" w:rsidRPr="00E34ED8" w:rsidRDefault="00E34ED8" w:rsidP="00E34ED8">
            <w:p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lastRenderedPageBreak/>
              <w:t xml:space="preserve">• The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supplier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will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ensure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maintenance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of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website: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updating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modules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updating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data,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information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documents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, etc.</w:t>
            </w:r>
          </w:p>
          <w:p w14:paraId="7143657A" w14:textId="77777777" w:rsidR="00E34ED8" w:rsidRPr="00E34ED8" w:rsidRDefault="00E34ED8" w:rsidP="00E34ED8">
            <w:p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• A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counter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for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number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of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visitors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and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/or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views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will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be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integrated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</w:p>
          <w:p w14:paraId="4198E657" w14:textId="77777777" w:rsidR="00E34ED8" w:rsidRPr="00E34ED8" w:rsidRDefault="00E34ED8" w:rsidP="00E34ED8">
            <w:p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• Content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updates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will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be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carried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out at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request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of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Contracting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Authority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within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a maximum of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two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working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days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from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submission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of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request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</w:p>
          <w:p w14:paraId="34830133" w14:textId="26CF8D4E" w:rsidR="00E34ED8" w:rsidRPr="00721A28" w:rsidRDefault="00E34ED8" w:rsidP="00E34ED8">
            <w:pPr>
              <w:jc w:val="both"/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</w:pPr>
            <w:r w:rsidRPr="00721A28"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 xml:space="preserve">Minimum </w:t>
            </w:r>
            <w:proofErr w:type="spellStart"/>
            <w:r w:rsidRPr="00721A28"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>technical</w:t>
            </w:r>
            <w:proofErr w:type="spellEnd"/>
            <w:r w:rsidRPr="00721A28"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21A28"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>requirements</w:t>
            </w:r>
            <w:proofErr w:type="spellEnd"/>
          </w:p>
          <w:p w14:paraId="41EC4906" w14:textId="5434306B" w:rsidR="00E34ED8" w:rsidRPr="00E34ED8" w:rsidRDefault="00E34ED8" w:rsidP="003200E2">
            <w:p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The website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will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allow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access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to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administration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module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through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an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account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secured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by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username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and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password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  <w:r w:rsidR="003200E2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The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administration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module</w:t>
            </w:r>
            <w:r w:rsidR="003200E2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will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allow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editing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website content,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uploading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text,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files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images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audio-video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elements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while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public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version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remains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unchanged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;</w:t>
            </w:r>
            <w:r w:rsidR="003200E2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will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allow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adding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/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deleting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administrators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;</w:t>
            </w:r>
            <w:r w:rsidR="003200E2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will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have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a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scalable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architecture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;</w:t>
            </w:r>
            <w:r w:rsidR="003200E2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will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have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an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internal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search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engine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;</w:t>
            </w:r>
            <w:r w:rsidR="003200E2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will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provide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support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for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Romanian,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Serbian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and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English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languages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  <w:r w:rsidR="003200E2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3200E2">
              <w:rPr>
                <w:rFonts w:ascii="Open Sans" w:hAnsi="Open Sans" w:cs="Open Sans"/>
                <w:sz w:val="22"/>
                <w:szCs w:val="22"/>
                <w:lang w:val="ro-RO"/>
              </w:rPr>
              <w:t>S</w:t>
            </w:r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ections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will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be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optimized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to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be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ranked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in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search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engines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  <w:r w:rsidR="003200E2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All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sections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will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contain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meta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tags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that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explain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content of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page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and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list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keywords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for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respective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section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</w:p>
          <w:p w14:paraId="6182A66E" w14:textId="53FFBD06" w:rsidR="00AC60B0" w:rsidRPr="000365A9" w:rsidRDefault="00E34ED8" w:rsidP="003200E2">
            <w:p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The design of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website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sections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must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meet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t</w:t>
            </w:r>
            <w:r w:rsidRPr="00721A28"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>he</w:t>
            </w:r>
            <w:proofErr w:type="spellEnd"/>
            <w:r w:rsidRPr="00721A28"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21A28"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>requirements</w:t>
            </w:r>
            <w:proofErr w:type="spellEnd"/>
            <w:r w:rsidRPr="00721A28"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 xml:space="preserve"> of </w:t>
            </w:r>
            <w:proofErr w:type="spellStart"/>
            <w:r w:rsidRPr="00721A28"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>compatibility</w:t>
            </w:r>
            <w:proofErr w:type="spellEnd"/>
            <w:r w:rsidRPr="00721A28"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21A28"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>and</w:t>
            </w:r>
            <w:proofErr w:type="spellEnd"/>
            <w:r w:rsidRPr="00721A28"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21A28"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>accessibility</w:t>
            </w:r>
            <w:proofErr w:type="spellEnd"/>
            <w:r w:rsidRPr="00721A28"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 xml:space="preserve"> for </w:t>
            </w:r>
            <w:proofErr w:type="spellStart"/>
            <w:r w:rsidRPr="00721A28"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>people</w:t>
            </w:r>
            <w:proofErr w:type="spellEnd"/>
            <w:r w:rsidRPr="00721A28"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21A28"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>with</w:t>
            </w:r>
            <w:proofErr w:type="spellEnd"/>
            <w:r w:rsidRPr="00721A28"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21A28"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>disabilities</w:t>
            </w:r>
            <w:proofErr w:type="spellEnd"/>
            <w:r w:rsidRPr="00721A28">
              <w:rPr>
                <w:rFonts w:ascii="Open Sans" w:hAnsi="Open Sans" w:cs="Open Sans"/>
                <w:sz w:val="22"/>
                <w:szCs w:val="22"/>
                <w:lang w:val="ro-RO"/>
              </w:rPr>
              <w:t>,</w:t>
            </w:r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in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accordance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with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European Union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standards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in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field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of web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accessibility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. </w:t>
            </w:r>
            <w:r w:rsidR="00721A28">
              <w:rPr>
                <w:rFonts w:ascii="Open Sans" w:hAnsi="Open Sans" w:cs="Open Sans"/>
                <w:sz w:val="22"/>
                <w:szCs w:val="22"/>
                <w:lang w:val="ro-RO"/>
              </w:rPr>
              <w:t>T</w:t>
            </w:r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he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provisions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of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Instruction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no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. 5 of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Managing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Authority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for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Interreg</w:t>
            </w:r>
            <w:proofErr w:type="spellEnd"/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IPA Romania - Serbia Program</w:t>
            </w:r>
            <w:r w:rsidR="00721A2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721A28">
              <w:rPr>
                <w:rFonts w:ascii="Open Sans" w:hAnsi="Open Sans" w:cs="Open Sans"/>
                <w:sz w:val="22"/>
                <w:szCs w:val="22"/>
                <w:lang w:val="ro-RO"/>
              </w:rPr>
              <w:t>will</w:t>
            </w:r>
            <w:proofErr w:type="spellEnd"/>
            <w:r w:rsidR="00721A2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721A28">
              <w:rPr>
                <w:rFonts w:ascii="Open Sans" w:hAnsi="Open Sans" w:cs="Open Sans"/>
                <w:sz w:val="22"/>
                <w:szCs w:val="22"/>
                <w:lang w:val="ro-RO"/>
              </w:rPr>
              <w:t>be</w:t>
            </w:r>
            <w:proofErr w:type="spellEnd"/>
            <w:r w:rsidR="00721A2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721A28">
              <w:rPr>
                <w:rFonts w:ascii="Open Sans" w:hAnsi="Open Sans" w:cs="Open Sans"/>
                <w:sz w:val="22"/>
                <w:szCs w:val="22"/>
                <w:lang w:val="ro-RO"/>
              </w:rPr>
              <w:t>observed</w:t>
            </w:r>
            <w:proofErr w:type="spellEnd"/>
            <w:r w:rsidR="00721A2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– </w:t>
            </w:r>
            <w:proofErr w:type="spellStart"/>
            <w:r w:rsidR="00721A28">
              <w:rPr>
                <w:rFonts w:ascii="Open Sans" w:hAnsi="Open Sans" w:cs="Open Sans"/>
                <w:sz w:val="22"/>
                <w:szCs w:val="22"/>
                <w:lang w:val="ro-RO"/>
              </w:rPr>
              <w:t>see</w:t>
            </w:r>
            <w:proofErr w:type="spellEnd"/>
            <w:r w:rsidR="00721A2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Pr="00E34ED8">
              <w:rPr>
                <w:rFonts w:ascii="Open Sans" w:hAnsi="Open Sans" w:cs="Open Sans"/>
                <w:sz w:val="22"/>
                <w:szCs w:val="22"/>
                <w:lang w:val="ro-RO"/>
              </w:rPr>
              <w:t>https://romania-serbia.net/wp-content/uploads/2024/04/instructionea-5-accessibility2.pdf</w:t>
            </w:r>
          </w:p>
        </w:tc>
      </w:tr>
      <w:tr w:rsidR="008B26A1" w:rsidRPr="008B26A1" w14:paraId="48AF09D0" w14:textId="77777777" w:rsidTr="005504F9">
        <w:tc>
          <w:tcPr>
            <w:tcW w:w="3534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lastRenderedPageBreak/>
              <w:t>CPV code:</w:t>
            </w:r>
          </w:p>
        </w:tc>
        <w:tc>
          <w:tcPr>
            <w:tcW w:w="6095" w:type="dxa"/>
          </w:tcPr>
          <w:p w14:paraId="31DB6499" w14:textId="00BF8C10" w:rsidR="009C7B7F" w:rsidRPr="008B26A1" w:rsidRDefault="000365A9" w:rsidP="002B4171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0365A9">
              <w:rPr>
                <w:rFonts w:ascii="Open Sans" w:hAnsi="Open Sans" w:cs="Open Sans"/>
                <w:sz w:val="22"/>
                <w:szCs w:val="22"/>
                <w:lang w:val="ro-RO"/>
              </w:rPr>
              <w:t>98341000-5</w:t>
            </w:r>
          </w:p>
        </w:tc>
      </w:tr>
      <w:tr w:rsidR="008B26A1" w:rsidRPr="008B26A1" w14:paraId="35B110C2" w14:textId="77777777" w:rsidTr="005504F9">
        <w:tc>
          <w:tcPr>
            <w:tcW w:w="3534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Estimated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value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(lei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without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VAT): </w:t>
            </w:r>
          </w:p>
        </w:tc>
        <w:tc>
          <w:tcPr>
            <w:tcW w:w="6095" w:type="dxa"/>
          </w:tcPr>
          <w:p w14:paraId="193231E6" w14:textId="0147A8A6" w:rsidR="008B26A1" w:rsidRPr="008B26A1" w:rsidRDefault="000365A9" w:rsidP="00130DF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0365A9">
              <w:rPr>
                <w:rFonts w:ascii="Open Sans" w:hAnsi="Open Sans" w:cs="Open Sans"/>
                <w:sz w:val="22"/>
                <w:szCs w:val="22"/>
                <w:lang w:val="ro-RO"/>
              </w:rPr>
              <w:t>20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  <w:r w:rsidRPr="000365A9">
              <w:rPr>
                <w:rFonts w:ascii="Open Sans" w:hAnsi="Open Sans" w:cs="Open Sans"/>
                <w:sz w:val="22"/>
                <w:szCs w:val="22"/>
                <w:lang w:val="ro-RO"/>
              </w:rPr>
              <w:t>909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,</w:t>
            </w:r>
            <w:r w:rsidRPr="000365A9">
              <w:rPr>
                <w:rFonts w:ascii="Open Sans" w:hAnsi="Open Sans" w:cs="Open Sans"/>
                <w:sz w:val="22"/>
                <w:szCs w:val="22"/>
                <w:lang w:val="ro-RO"/>
              </w:rPr>
              <w:t>66</w:t>
            </w:r>
            <w:r w:rsidR="002B4171" w:rsidRPr="002B417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5504F9">
              <w:rPr>
                <w:rFonts w:ascii="Open Sans" w:hAnsi="Open Sans" w:cs="Open Sans"/>
                <w:sz w:val="22"/>
                <w:szCs w:val="22"/>
                <w:lang w:val="ro-RO"/>
              </w:rPr>
              <w:t>RON</w:t>
            </w:r>
            <w:r w:rsidR="001C7858" w:rsidRPr="001C785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6C2A78" w:rsidRPr="006C2A78">
              <w:rPr>
                <w:rFonts w:ascii="Open Sans" w:hAnsi="Open Sans" w:cs="Open Sans"/>
                <w:sz w:val="22"/>
                <w:szCs w:val="22"/>
                <w:lang w:val="ro-RO"/>
              </w:rPr>
              <w:t>without</w:t>
            </w:r>
            <w:proofErr w:type="spellEnd"/>
            <w:r w:rsidR="006C2A78" w:rsidRPr="006C2A7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VAT</w:t>
            </w:r>
            <w:r w:rsidR="009C7B7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.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(</w:t>
            </w:r>
            <w:r w:rsidRPr="000365A9">
              <w:rPr>
                <w:rFonts w:ascii="Open Sans" w:hAnsi="Open Sans" w:cs="Open Sans"/>
                <w:sz w:val="22"/>
                <w:szCs w:val="22"/>
                <w:lang w:val="ro-RO"/>
              </w:rPr>
              <w:t>20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  <w:r w:rsidRPr="000365A9">
              <w:rPr>
                <w:rFonts w:ascii="Open Sans" w:hAnsi="Open Sans" w:cs="Open Sans"/>
                <w:sz w:val="22"/>
                <w:szCs w:val="22"/>
                <w:lang w:val="ro-RO"/>
              </w:rPr>
              <w:t>90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9,</w:t>
            </w:r>
            <w:r w:rsidRPr="000365A9">
              <w:rPr>
                <w:rFonts w:ascii="Open Sans" w:hAnsi="Open Sans" w:cs="Open Sans"/>
                <w:sz w:val="22"/>
                <w:szCs w:val="22"/>
                <w:lang w:val="ro-RO"/>
              </w:rPr>
              <w:t>66</w:t>
            </w:r>
            <w:r w:rsidR="002B417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9C7B7F">
              <w:rPr>
                <w:rFonts w:ascii="Open Sans" w:hAnsi="Open Sans" w:cs="Open Sans"/>
                <w:sz w:val="22"/>
                <w:szCs w:val="22"/>
                <w:lang w:val="ro-RO"/>
              </w:rPr>
              <w:t>RON</w:t>
            </w:r>
            <w:r w:rsidR="009C7B7F" w:rsidRPr="001C785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9C7B7F">
              <w:rPr>
                <w:rFonts w:ascii="Open Sans" w:hAnsi="Open Sans" w:cs="Open Sans"/>
                <w:sz w:val="22"/>
                <w:szCs w:val="22"/>
                <w:lang w:val="ro-RO"/>
              </w:rPr>
              <w:t>fără TVA)</w:t>
            </w:r>
          </w:p>
        </w:tc>
      </w:tr>
      <w:tr w:rsidR="008B26A1" w:rsidRPr="008B26A1" w14:paraId="7999BF09" w14:textId="77777777" w:rsidTr="005504F9">
        <w:tc>
          <w:tcPr>
            <w:tcW w:w="3534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Type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of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procurement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procedure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: </w:t>
            </w:r>
          </w:p>
          <w:p w14:paraId="335FB6AC" w14:textId="4A1F13AB" w:rsidR="008B26A1" w:rsidRPr="0064788E" w:rsidRDefault="0064788E" w:rsidP="0000653D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/Direct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purchase</w:t>
            </w:r>
            <w:proofErr w:type="spellEnd"/>
          </w:p>
        </w:tc>
        <w:tc>
          <w:tcPr>
            <w:tcW w:w="6095" w:type="dxa"/>
            <w:vAlign w:val="center"/>
          </w:tcPr>
          <w:p w14:paraId="79EFA4FF" w14:textId="4DFF76CC" w:rsidR="008B26A1" w:rsidRPr="008B26A1" w:rsidRDefault="000D491C" w:rsidP="006C2A7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Direct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purchase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  <w:r w:rsidR="009C7B7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(Achiziție directă)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2B41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2546" w:right="1134" w:bottom="993" w:left="1134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812B7" w14:textId="77777777" w:rsidR="00D25A14" w:rsidRDefault="00D25A14">
      <w:r>
        <w:separator/>
      </w:r>
    </w:p>
  </w:endnote>
  <w:endnote w:type="continuationSeparator" w:id="0">
    <w:p w14:paraId="5C86B3BD" w14:textId="77777777" w:rsidR="00D25A14" w:rsidRDefault="00D2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7C37A" w14:textId="77777777" w:rsidR="005504F9" w:rsidRDefault="005504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4E2A8" w14:textId="77777777" w:rsidR="005504F9" w:rsidRDefault="005504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554D8" w14:textId="77777777" w:rsidR="005504F9" w:rsidRDefault="00550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EAE9E" w14:textId="77777777" w:rsidR="00D25A14" w:rsidRDefault="00D25A14">
      <w:r>
        <w:separator/>
      </w:r>
    </w:p>
  </w:footnote>
  <w:footnote w:type="continuationSeparator" w:id="0">
    <w:p w14:paraId="5CE0C72E" w14:textId="77777777" w:rsidR="00D25A14" w:rsidRDefault="00D2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C069F" w14:textId="77777777" w:rsidR="005504F9" w:rsidRDefault="005504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01BE4FF8">
          <wp:simplePos x="0" y="0"/>
          <wp:positionH relativeFrom="column">
            <wp:posOffset>-147955</wp:posOffset>
          </wp:positionH>
          <wp:positionV relativeFrom="paragraph">
            <wp:posOffset>-443865</wp:posOffset>
          </wp:positionV>
          <wp:extent cx="3905250" cy="1173480"/>
          <wp:effectExtent l="0" t="0" r="0" b="7620"/>
          <wp:wrapTight wrapText="bothSides">
            <wp:wrapPolygon edited="0">
              <wp:start x="0" y="0"/>
              <wp:lineTo x="0" y="21390"/>
              <wp:lineTo x="21495" y="21390"/>
              <wp:lineTo x="21495" y="0"/>
              <wp:lineTo x="0" y="0"/>
            </wp:wrapPolygon>
          </wp:wrapTight>
          <wp:docPr id="589132388" name="Picture 589132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1173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9773D" w14:textId="77777777" w:rsidR="005504F9" w:rsidRDefault="005504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4488E"/>
    <w:multiLevelType w:val="hybridMultilevel"/>
    <w:tmpl w:val="5C34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70031"/>
    <w:multiLevelType w:val="hybridMultilevel"/>
    <w:tmpl w:val="0206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B0125"/>
    <w:multiLevelType w:val="hybridMultilevel"/>
    <w:tmpl w:val="1CA8D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03D05"/>
    <w:multiLevelType w:val="hybridMultilevel"/>
    <w:tmpl w:val="489E4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05EDE"/>
    <w:multiLevelType w:val="hybridMultilevel"/>
    <w:tmpl w:val="F79474DE"/>
    <w:lvl w:ilvl="0" w:tplc="03EA9448">
      <w:start w:val="1"/>
      <w:numFmt w:val="lowerLetter"/>
      <w:lvlText w:val="%1."/>
      <w:lvlJc w:val="left"/>
      <w:pPr>
        <w:ind w:left="720" w:hanging="360"/>
      </w:pPr>
      <w:rPr>
        <w:rFonts w:ascii="Open Sans" w:eastAsia="Times New Roman" w:hAnsi="Open Sans" w:cs="Open San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C53D1"/>
    <w:multiLevelType w:val="hybridMultilevel"/>
    <w:tmpl w:val="98FC6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B57FD"/>
    <w:multiLevelType w:val="multilevel"/>
    <w:tmpl w:val="8DF0A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F17416"/>
    <w:multiLevelType w:val="hybridMultilevel"/>
    <w:tmpl w:val="81CAC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E6E93"/>
    <w:multiLevelType w:val="hybridMultilevel"/>
    <w:tmpl w:val="4F9212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713F7"/>
    <w:multiLevelType w:val="hybridMultilevel"/>
    <w:tmpl w:val="632E4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22D42"/>
    <w:multiLevelType w:val="hybridMultilevel"/>
    <w:tmpl w:val="C1F448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9875363">
    <w:abstractNumId w:val="6"/>
  </w:num>
  <w:num w:numId="2" w16cid:durableId="2112893354">
    <w:abstractNumId w:val="11"/>
  </w:num>
  <w:num w:numId="3" w16cid:durableId="589630535">
    <w:abstractNumId w:val="19"/>
  </w:num>
  <w:num w:numId="4" w16cid:durableId="1077559459">
    <w:abstractNumId w:val="7"/>
  </w:num>
  <w:num w:numId="5" w16cid:durableId="1581519495">
    <w:abstractNumId w:val="20"/>
  </w:num>
  <w:num w:numId="6" w16cid:durableId="586186674">
    <w:abstractNumId w:val="12"/>
  </w:num>
  <w:num w:numId="7" w16cid:durableId="380445673">
    <w:abstractNumId w:val="4"/>
  </w:num>
  <w:num w:numId="8" w16cid:durableId="869759043">
    <w:abstractNumId w:val="1"/>
  </w:num>
  <w:num w:numId="9" w16cid:durableId="1924139544">
    <w:abstractNumId w:val="17"/>
  </w:num>
  <w:num w:numId="10" w16cid:durableId="1116023400">
    <w:abstractNumId w:val="5"/>
  </w:num>
  <w:num w:numId="11" w16cid:durableId="1264416603">
    <w:abstractNumId w:val="15"/>
  </w:num>
  <w:num w:numId="12" w16cid:durableId="455566124">
    <w:abstractNumId w:val="9"/>
  </w:num>
  <w:num w:numId="13" w16cid:durableId="125390985">
    <w:abstractNumId w:val="18"/>
  </w:num>
  <w:num w:numId="14" w16cid:durableId="734622444">
    <w:abstractNumId w:val="13"/>
  </w:num>
  <w:num w:numId="15" w16cid:durableId="605890305">
    <w:abstractNumId w:val="0"/>
  </w:num>
  <w:num w:numId="16" w16cid:durableId="745304700">
    <w:abstractNumId w:val="10"/>
  </w:num>
  <w:num w:numId="17" w16cid:durableId="1353725694">
    <w:abstractNumId w:val="14"/>
  </w:num>
  <w:num w:numId="18" w16cid:durableId="1179780757">
    <w:abstractNumId w:val="8"/>
  </w:num>
  <w:num w:numId="19" w16cid:durableId="190995841">
    <w:abstractNumId w:val="16"/>
  </w:num>
  <w:num w:numId="20" w16cid:durableId="791939699">
    <w:abstractNumId w:val="3"/>
  </w:num>
  <w:num w:numId="21" w16cid:durableId="1003552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B6"/>
    <w:rsid w:val="000013E3"/>
    <w:rsid w:val="00003114"/>
    <w:rsid w:val="000034CD"/>
    <w:rsid w:val="0000639F"/>
    <w:rsid w:val="0000653D"/>
    <w:rsid w:val="00011982"/>
    <w:rsid w:val="00011D61"/>
    <w:rsid w:val="000127FC"/>
    <w:rsid w:val="000200AD"/>
    <w:rsid w:val="00027FAF"/>
    <w:rsid w:val="000365A9"/>
    <w:rsid w:val="00043152"/>
    <w:rsid w:val="00050215"/>
    <w:rsid w:val="00050996"/>
    <w:rsid w:val="00060102"/>
    <w:rsid w:val="00070D68"/>
    <w:rsid w:val="000772E0"/>
    <w:rsid w:val="000800B5"/>
    <w:rsid w:val="0008204F"/>
    <w:rsid w:val="000842DB"/>
    <w:rsid w:val="00084FB0"/>
    <w:rsid w:val="000905BE"/>
    <w:rsid w:val="00096136"/>
    <w:rsid w:val="000A07FE"/>
    <w:rsid w:val="000B14D8"/>
    <w:rsid w:val="000B3859"/>
    <w:rsid w:val="000B4BA2"/>
    <w:rsid w:val="000D34C0"/>
    <w:rsid w:val="000D3C1C"/>
    <w:rsid w:val="000D4022"/>
    <w:rsid w:val="000D491C"/>
    <w:rsid w:val="000D6D35"/>
    <w:rsid w:val="000D7D8B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30DFF"/>
    <w:rsid w:val="00133D1D"/>
    <w:rsid w:val="00142DEC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B5345"/>
    <w:rsid w:val="001C2410"/>
    <w:rsid w:val="001C4F14"/>
    <w:rsid w:val="001C6659"/>
    <w:rsid w:val="001C7536"/>
    <w:rsid w:val="001C7858"/>
    <w:rsid w:val="001D2CD0"/>
    <w:rsid w:val="001D585B"/>
    <w:rsid w:val="001D7581"/>
    <w:rsid w:val="001F2977"/>
    <w:rsid w:val="001F351E"/>
    <w:rsid w:val="001F5C8E"/>
    <w:rsid w:val="002010B8"/>
    <w:rsid w:val="0020231F"/>
    <w:rsid w:val="00202AB3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95B6B"/>
    <w:rsid w:val="00295C67"/>
    <w:rsid w:val="00296297"/>
    <w:rsid w:val="002A4940"/>
    <w:rsid w:val="002A6B96"/>
    <w:rsid w:val="002B4171"/>
    <w:rsid w:val="002B6C1B"/>
    <w:rsid w:val="002C19E6"/>
    <w:rsid w:val="002D1A1C"/>
    <w:rsid w:val="002D5664"/>
    <w:rsid w:val="002E7E25"/>
    <w:rsid w:val="003009A7"/>
    <w:rsid w:val="003016A2"/>
    <w:rsid w:val="00310028"/>
    <w:rsid w:val="00315AC1"/>
    <w:rsid w:val="003200E2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714A2"/>
    <w:rsid w:val="00385CB1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6D9E"/>
    <w:rsid w:val="0043731D"/>
    <w:rsid w:val="004416E4"/>
    <w:rsid w:val="004550F5"/>
    <w:rsid w:val="00455827"/>
    <w:rsid w:val="00455C4D"/>
    <w:rsid w:val="00463DED"/>
    <w:rsid w:val="00464743"/>
    <w:rsid w:val="00466058"/>
    <w:rsid w:val="004737A2"/>
    <w:rsid w:val="00477FFE"/>
    <w:rsid w:val="00486009"/>
    <w:rsid w:val="0049445D"/>
    <w:rsid w:val="004A236B"/>
    <w:rsid w:val="004A3A8E"/>
    <w:rsid w:val="004B0EA3"/>
    <w:rsid w:val="004B15E9"/>
    <w:rsid w:val="004B32D9"/>
    <w:rsid w:val="004B41AA"/>
    <w:rsid w:val="004C1AD8"/>
    <w:rsid w:val="004C5665"/>
    <w:rsid w:val="004C74B8"/>
    <w:rsid w:val="004C7A1A"/>
    <w:rsid w:val="004D4D04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04F9"/>
    <w:rsid w:val="00556E0E"/>
    <w:rsid w:val="00561C59"/>
    <w:rsid w:val="005642A8"/>
    <w:rsid w:val="00571D26"/>
    <w:rsid w:val="00572CB6"/>
    <w:rsid w:val="0057516E"/>
    <w:rsid w:val="00582E1F"/>
    <w:rsid w:val="00583D22"/>
    <w:rsid w:val="00587B3B"/>
    <w:rsid w:val="00591A81"/>
    <w:rsid w:val="00592D2D"/>
    <w:rsid w:val="005A13E4"/>
    <w:rsid w:val="005A38F2"/>
    <w:rsid w:val="005A417B"/>
    <w:rsid w:val="005A560C"/>
    <w:rsid w:val="005B323E"/>
    <w:rsid w:val="005B3838"/>
    <w:rsid w:val="005C4A82"/>
    <w:rsid w:val="005C6FF2"/>
    <w:rsid w:val="005D5A9D"/>
    <w:rsid w:val="005E260C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2E8C"/>
    <w:rsid w:val="006460EE"/>
    <w:rsid w:val="0064788E"/>
    <w:rsid w:val="00652E74"/>
    <w:rsid w:val="00664C35"/>
    <w:rsid w:val="00666972"/>
    <w:rsid w:val="00671EF4"/>
    <w:rsid w:val="00672C03"/>
    <w:rsid w:val="006774DB"/>
    <w:rsid w:val="006775DE"/>
    <w:rsid w:val="006805D0"/>
    <w:rsid w:val="00682B47"/>
    <w:rsid w:val="006845EA"/>
    <w:rsid w:val="006850F4"/>
    <w:rsid w:val="00692121"/>
    <w:rsid w:val="00695AEE"/>
    <w:rsid w:val="006A0919"/>
    <w:rsid w:val="006B1844"/>
    <w:rsid w:val="006B18D5"/>
    <w:rsid w:val="006C06E9"/>
    <w:rsid w:val="006C2A78"/>
    <w:rsid w:val="006C4F08"/>
    <w:rsid w:val="006C5739"/>
    <w:rsid w:val="006D1437"/>
    <w:rsid w:val="006D3A27"/>
    <w:rsid w:val="006D664A"/>
    <w:rsid w:val="006D6E7B"/>
    <w:rsid w:val="006D7C4C"/>
    <w:rsid w:val="006E1061"/>
    <w:rsid w:val="007061F5"/>
    <w:rsid w:val="00715866"/>
    <w:rsid w:val="00716B49"/>
    <w:rsid w:val="007174CB"/>
    <w:rsid w:val="00721A28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80EF0"/>
    <w:rsid w:val="00786664"/>
    <w:rsid w:val="00791281"/>
    <w:rsid w:val="007A7334"/>
    <w:rsid w:val="007B2C04"/>
    <w:rsid w:val="007B3E7E"/>
    <w:rsid w:val="007B63B2"/>
    <w:rsid w:val="007B78C3"/>
    <w:rsid w:val="007C6D86"/>
    <w:rsid w:val="007C7381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855BC"/>
    <w:rsid w:val="008A0520"/>
    <w:rsid w:val="008A668A"/>
    <w:rsid w:val="008B26A1"/>
    <w:rsid w:val="008C3615"/>
    <w:rsid w:val="008E049F"/>
    <w:rsid w:val="008E2AF9"/>
    <w:rsid w:val="008E55FC"/>
    <w:rsid w:val="008F2E4F"/>
    <w:rsid w:val="008F52F9"/>
    <w:rsid w:val="008F781E"/>
    <w:rsid w:val="009042EB"/>
    <w:rsid w:val="00910869"/>
    <w:rsid w:val="00915934"/>
    <w:rsid w:val="00915959"/>
    <w:rsid w:val="00917230"/>
    <w:rsid w:val="00925033"/>
    <w:rsid w:val="00927361"/>
    <w:rsid w:val="009324C1"/>
    <w:rsid w:val="009325D5"/>
    <w:rsid w:val="009368C9"/>
    <w:rsid w:val="00951FC0"/>
    <w:rsid w:val="0095300F"/>
    <w:rsid w:val="00954DF4"/>
    <w:rsid w:val="00974CBB"/>
    <w:rsid w:val="00975139"/>
    <w:rsid w:val="00983909"/>
    <w:rsid w:val="00993217"/>
    <w:rsid w:val="00996E10"/>
    <w:rsid w:val="009A60B3"/>
    <w:rsid w:val="009B52AD"/>
    <w:rsid w:val="009C44BC"/>
    <w:rsid w:val="009C7B7F"/>
    <w:rsid w:val="009D4CE0"/>
    <w:rsid w:val="009E2850"/>
    <w:rsid w:val="009E375B"/>
    <w:rsid w:val="009E3E23"/>
    <w:rsid w:val="009E472C"/>
    <w:rsid w:val="009E4F89"/>
    <w:rsid w:val="009E5340"/>
    <w:rsid w:val="009F2BCB"/>
    <w:rsid w:val="009F5008"/>
    <w:rsid w:val="009F568C"/>
    <w:rsid w:val="00A05A76"/>
    <w:rsid w:val="00A06E02"/>
    <w:rsid w:val="00A12398"/>
    <w:rsid w:val="00A13BF3"/>
    <w:rsid w:val="00A1412F"/>
    <w:rsid w:val="00A20027"/>
    <w:rsid w:val="00A2263B"/>
    <w:rsid w:val="00A279AD"/>
    <w:rsid w:val="00A317A0"/>
    <w:rsid w:val="00A4141F"/>
    <w:rsid w:val="00A44369"/>
    <w:rsid w:val="00A61002"/>
    <w:rsid w:val="00A663D2"/>
    <w:rsid w:val="00A700C4"/>
    <w:rsid w:val="00A7432D"/>
    <w:rsid w:val="00A80B57"/>
    <w:rsid w:val="00A81581"/>
    <w:rsid w:val="00A8334D"/>
    <w:rsid w:val="00A8648E"/>
    <w:rsid w:val="00A8752C"/>
    <w:rsid w:val="00A90C3C"/>
    <w:rsid w:val="00AC0810"/>
    <w:rsid w:val="00AC2093"/>
    <w:rsid w:val="00AC32E7"/>
    <w:rsid w:val="00AC60B0"/>
    <w:rsid w:val="00AC79D5"/>
    <w:rsid w:val="00AD2CAD"/>
    <w:rsid w:val="00AD555A"/>
    <w:rsid w:val="00AE1AF8"/>
    <w:rsid w:val="00AE5A41"/>
    <w:rsid w:val="00AF698B"/>
    <w:rsid w:val="00AF7D99"/>
    <w:rsid w:val="00B012FE"/>
    <w:rsid w:val="00B1416C"/>
    <w:rsid w:val="00B323DE"/>
    <w:rsid w:val="00B47756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294"/>
    <w:rsid w:val="00BB2C3F"/>
    <w:rsid w:val="00BB44F8"/>
    <w:rsid w:val="00BD0204"/>
    <w:rsid w:val="00BD1F13"/>
    <w:rsid w:val="00BE29D5"/>
    <w:rsid w:val="00BE29E4"/>
    <w:rsid w:val="00BE35C8"/>
    <w:rsid w:val="00C221CE"/>
    <w:rsid w:val="00C233CF"/>
    <w:rsid w:val="00C27F52"/>
    <w:rsid w:val="00C346A6"/>
    <w:rsid w:val="00C35B99"/>
    <w:rsid w:val="00C37C31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25A14"/>
    <w:rsid w:val="00D40CAA"/>
    <w:rsid w:val="00D40E9E"/>
    <w:rsid w:val="00D4429A"/>
    <w:rsid w:val="00D45018"/>
    <w:rsid w:val="00D45ED3"/>
    <w:rsid w:val="00D56B1C"/>
    <w:rsid w:val="00D6359C"/>
    <w:rsid w:val="00D63CD0"/>
    <w:rsid w:val="00D74DE8"/>
    <w:rsid w:val="00D81CF8"/>
    <w:rsid w:val="00D8621F"/>
    <w:rsid w:val="00D900E5"/>
    <w:rsid w:val="00D90E9D"/>
    <w:rsid w:val="00D954A9"/>
    <w:rsid w:val="00DA034E"/>
    <w:rsid w:val="00DA2B2F"/>
    <w:rsid w:val="00DA2F2E"/>
    <w:rsid w:val="00DB4107"/>
    <w:rsid w:val="00DB5E02"/>
    <w:rsid w:val="00DD6B5E"/>
    <w:rsid w:val="00DE7252"/>
    <w:rsid w:val="00DE7430"/>
    <w:rsid w:val="00DE7842"/>
    <w:rsid w:val="00DF05E6"/>
    <w:rsid w:val="00E03B36"/>
    <w:rsid w:val="00E1175B"/>
    <w:rsid w:val="00E159E7"/>
    <w:rsid w:val="00E15B00"/>
    <w:rsid w:val="00E17BD7"/>
    <w:rsid w:val="00E25BAC"/>
    <w:rsid w:val="00E269B8"/>
    <w:rsid w:val="00E3043B"/>
    <w:rsid w:val="00E34479"/>
    <w:rsid w:val="00E34ED8"/>
    <w:rsid w:val="00E61259"/>
    <w:rsid w:val="00E63977"/>
    <w:rsid w:val="00E64C70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B43B3"/>
    <w:rsid w:val="00EC373A"/>
    <w:rsid w:val="00EC5A43"/>
    <w:rsid w:val="00EE630B"/>
    <w:rsid w:val="00EE68B7"/>
    <w:rsid w:val="00EE7561"/>
    <w:rsid w:val="00EF0221"/>
    <w:rsid w:val="00EF3A72"/>
    <w:rsid w:val="00F03510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363E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D16FE"/>
    <w:rsid w:val="00FD1D19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AD2CE1"/>
  <w15:docId w15:val="{4F987613-83DB-4C63-BA27-133173AC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666972"/>
    <w:pPr>
      <w:widowControl w:val="0"/>
      <w:autoSpaceDE w:val="0"/>
      <w:autoSpaceDN w:val="0"/>
      <w:jc w:val="both"/>
    </w:pPr>
    <w:rPr>
      <w:rFonts w:ascii="Calibri" w:eastAsia="Calibri" w:hAnsi="Calibri" w:cs="Calibri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3513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Carmen Pitic</cp:lastModifiedBy>
  <cp:revision>9</cp:revision>
  <cp:lastPrinted>2024-05-23T05:02:00Z</cp:lastPrinted>
  <dcterms:created xsi:type="dcterms:W3CDTF">2025-01-28T07:13:00Z</dcterms:created>
  <dcterms:modified xsi:type="dcterms:W3CDTF">2025-01-29T07:09:00Z</dcterms:modified>
</cp:coreProperties>
</file>