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E8F4" w14:textId="1CC88F06" w:rsidR="008951F0" w:rsidRPr="00A97B85" w:rsidRDefault="008951F0" w:rsidP="00E01300">
      <w:pPr>
        <w:tabs>
          <w:tab w:val="left" w:pos="420"/>
          <w:tab w:val="center" w:pos="4513"/>
        </w:tabs>
        <w:spacing w:before="240" w:after="0"/>
        <w:jc w:val="right"/>
        <w:rPr>
          <w:rFonts w:ascii="Open Sans" w:hAnsi="Open Sans" w:cs="Open Sans"/>
          <w:b/>
          <w:bCs/>
          <w:color w:val="8EAADB" w:themeColor="accent1" w:themeTint="99"/>
          <w:sz w:val="12"/>
          <w:szCs w:val="12"/>
          <w:lang w:val="ro-RO"/>
        </w:rPr>
      </w:pPr>
    </w:p>
    <w:p w14:paraId="32576E59" w14:textId="38F7E0B8" w:rsidR="00710951" w:rsidRPr="00710951" w:rsidRDefault="00710951" w:rsidP="00710951">
      <w:pPr>
        <w:shd w:val="clear" w:color="auto" w:fill="BDD6EE" w:themeFill="accent5" w:themeFillTint="66"/>
        <w:tabs>
          <w:tab w:val="left" w:pos="420"/>
          <w:tab w:val="center" w:pos="4513"/>
        </w:tabs>
        <w:rPr>
          <w:rFonts w:ascii="Open Sans" w:hAnsi="Open Sans" w:cs="Open Sans"/>
          <w:b/>
          <w:bCs/>
          <w:color w:val="404040" w:themeColor="text1" w:themeTint="BF"/>
          <w:sz w:val="32"/>
          <w:szCs w:val="32"/>
          <w:lang w:val="ro-RO"/>
        </w:rPr>
      </w:pPr>
      <w:r w:rsidRPr="00710951">
        <w:rPr>
          <w:rFonts w:ascii="Open Sans" w:hAnsi="Open Sans" w:cs="Open Sans"/>
          <w:b/>
          <w:bCs/>
          <w:color w:val="FFFFFF" w:themeColor="background1"/>
          <w:sz w:val="32"/>
          <w:szCs w:val="32"/>
          <w:lang w:val="ro-RO"/>
        </w:rPr>
        <w:tab/>
      </w:r>
      <w:r w:rsidRPr="00710951">
        <w:rPr>
          <w:rFonts w:ascii="Open Sans" w:hAnsi="Open Sans" w:cs="Open Sans"/>
          <w:b/>
          <w:bCs/>
          <w:color w:val="FFFFFF" w:themeColor="background1"/>
          <w:sz w:val="32"/>
          <w:szCs w:val="32"/>
          <w:lang w:val="ro-RO"/>
        </w:rPr>
        <w:tab/>
      </w:r>
      <w:r w:rsidR="00D02974">
        <w:rPr>
          <w:rFonts w:ascii="Open Sans" w:hAnsi="Open Sans" w:cs="Open Sans"/>
          <w:b/>
          <w:bCs/>
          <w:color w:val="404040" w:themeColor="text1" w:themeTint="BF"/>
          <w:sz w:val="32"/>
          <w:szCs w:val="32"/>
          <w:lang w:val="ro-RO"/>
        </w:rPr>
        <w:t>Press release</w:t>
      </w:r>
    </w:p>
    <w:p w14:paraId="6792EF4F" w14:textId="1AC6C3BF" w:rsidR="00276320" w:rsidRPr="00467623" w:rsidRDefault="00C07DAA" w:rsidP="005611AD">
      <w:pPr>
        <w:spacing w:after="0"/>
        <w:jc w:val="both"/>
        <w:rPr>
          <w:rFonts w:ascii="Open Sans" w:hAnsi="Open Sans" w:cs="Open Sans"/>
          <w:sz w:val="24"/>
          <w:lang w:val="ro-RO"/>
        </w:rPr>
      </w:pPr>
      <w:r w:rsidRPr="00C07DAA">
        <w:rPr>
          <w:b/>
          <w:sz w:val="28"/>
        </w:rPr>
        <w:t>35 Years of Interreg – Romania and Serbia Celebrate</w:t>
      </w:r>
      <w:r w:rsidR="001650B0">
        <w:rPr>
          <w:b/>
          <w:sz w:val="28"/>
        </w:rPr>
        <w:t>d</w:t>
      </w:r>
      <w:r w:rsidRPr="00C07DAA">
        <w:rPr>
          <w:b/>
          <w:sz w:val="28"/>
        </w:rPr>
        <w:t xml:space="preserve"> European Cooperation</w:t>
      </w:r>
    </w:p>
    <w:p w14:paraId="2AE81D95" w14:textId="77777777" w:rsidR="003A65D6" w:rsidRDefault="003A65D6" w:rsidP="003A65D6">
      <w:pPr>
        <w:spacing w:line="276" w:lineRule="auto"/>
        <w:jc w:val="both"/>
        <w:rPr>
          <w:rFonts w:ascii="Open Sans" w:hAnsi="Open Sans" w:cs="Open Sans"/>
          <w:lang w:val="ro-RO"/>
        </w:rPr>
      </w:pPr>
    </w:p>
    <w:p w14:paraId="4FDDA950" w14:textId="77777777" w:rsidR="00C07DAA" w:rsidRPr="00C07DAA" w:rsidRDefault="00C07DAA" w:rsidP="00C07DAA">
      <w:pPr>
        <w:spacing w:after="0" w:line="276" w:lineRule="auto"/>
        <w:jc w:val="both"/>
        <w:rPr>
          <w:rFonts w:ascii="Open Sans" w:hAnsi="Open Sans" w:cs="Open Sans"/>
          <w:b/>
          <w:bCs/>
          <w:lang w:val="ro-RO"/>
        </w:rPr>
      </w:pPr>
      <w:r w:rsidRPr="00C07DAA">
        <w:rPr>
          <w:rFonts w:ascii="Open Sans" w:hAnsi="Open Sans" w:cs="Open Sans"/>
          <w:b/>
          <w:bCs/>
          <w:lang w:val="ro-RO"/>
        </w:rPr>
        <w:t>Timișoara, 30 September 2025</w:t>
      </w:r>
    </w:p>
    <w:p w14:paraId="05B55502" w14:textId="0092F115" w:rsidR="00C07DAA" w:rsidRPr="00C07DAA" w:rsidRDefault="00C07DAA" w:rsidP="00C07DAA">
      <w:pPr>
        <w:spacing w:after="0" w:line="276" w:lineRule="auto"/>
        <w:jc w:val="both"/>
        <w:rPr>
          <w:rFonts w:ascii="Open Sans" w:hAnsi="Open Sans" w:cs="Open Sans"/>
          <w:lang w:val="ro-RO"/>
        </w:rPr>
      </w:pPr>
      <w:r w:rsidRPr="00C07DAA">
        <w:rPr>
          <w:rFonts w:ascii="Open Sans" w:hAnsi="Open Sans" w:cs="Open Sans"/>
          <w:lang w:val="ro-RO"/>
        </w:rPr>
        <w:t>The Multi</w:t>
      </w:r>
      <w:r>
        <w:rPr>
          <w:rFonts w:ascii="Open Sans" w:hAnsi="Open Sans" w:cs="Open Sans"/>
          <w:lang w:val="ro-RO"/>
        </w:rPr>
        <w:t>functional</w:t>
      </w:r>
      <w:r w:rsidRPr="00C07DAA">
        <w:rPr>
          <w:rFonts w:ascii="Open Sans" w:hAnsi="Open Sans" w:cs="Open Sans"/>
          <w:lang w:val="ro-RO"/>
        </w:rPr>
        <w:t xml:space="preserve"> Hall of the Timiș County Council hosted Interreg Cooperation Day, an anniversary event marking </w:t>
      </w:r>
      <w:r w:rsidRPr="00C07DAA">
        <w:rPr>
          <w:rFonts w:ascii="Open Sans" w:hAnsi="Open Sans" w:cs="Open Sans"/>
          <w:b/>
          <w:bCs/>
          <w:lang w:val="ro-RO"/>
        </w:rPr>
        <w:t>35 years of Interreg programmes</w:t>
      </w:r>
      <w:r w:rsidRPr="00C07DAA">
        <w:rPr>
          <w:rFonts w:ascii="Open Sans" w:hAnsi="Open Sans" w:cs="Open Sans"/>
          <w:lang w:val="ro-RO"/>
        </w:rPr>
        <w:t>, while also celebrating more than two decades of cross-border collaboration between Romania and Serbia.</w:t>
      </w:r>
    </w:p>
    <w:p w14:paraId="188AD345" w14:textId="77777777" w:rsidR="00C07DAA" w:rsidRPr="00C07DAA" w:rsidRDefault="00C07DAA" w:rsidP="00C07DAA">
      <w:pPr>
        <w:spacing w:after="0" w:line="276" w:lineRule="auto"/>
        <w:jc w:val="both"/>
        <w:rPr>
          <w:rFonts w:ascii="Open Sans" w:hAnsi="Open Sans" w:cs="Open Sans"/>
          <w:lang w:val="ro-RO"/>
        </w:rPr>
      </w:pPr>
    </w:p>
    <w:p w14:paraId="20D7B19F" w14:textId="77777777" w:rsidR="00C07DAA" w:rsidRPr="00C07DAA" w:rsidRDefault="00C07DAA" w:rsidP="00C07DAA">
      <w:pPr>
        <w:spacing w:after="0" w:line="276" w:lineRule="auto"/>
        <w:jc w:val="both"/>
        <w:rPr>
          <w:rFonts w:ascii="Open Sans" w:hAnsi="Open Sans" w:cs="Open Sans"/>
          <w:lang w:val="ro-RO"/>
        </w:rPr>
      </w:pPr>
      <w:r w:rsidRPr="00C07DAA">
        <w:rPr>
          <w:rFonts w:ascii="Open Sans" w:hAnsi="Open Sans" w:cs="Open Sans"/>
          <w:lang w:val="ro-RO"/>
        </w:rPr>
        <w:t xml:space="preserve">The event brought together over </w:t>
      </w:r>
      <w:r w:rsidRPr="00C07DAA">
        <w:rPr>
          <w:rFonts w:ascii="Open Sans" w:hAnsi="Open Sans" w:cs="Open Sans"/>
          <w:b/>
          <w:bCs/>
          <w:lang w:val="ro-RO"/>
        </w:rPr>
        <w:t>100</w:t>
      </w:r>
      <w:r w:rsidRPr="00C07DAA">
        <w:rPr>
          <w:rFonts w:ascii="Open Sans" w:hAnsi="Open Sans" w:cs="Open Sans"/>
          <w:lang w:val="ro-RO"/>
        </w:rPr>
        <w:t xml:space="preserve"> representatives of central and local institutions from both countries, including </w:t>
      </w:r>
      <w:r w:rsidRPr="00C07DAA">
        <w:rPr>
          <w:rFonts w:ascii="Open Sans" w:hAnsi="Open Sans" w:cs="Open Sans"/>
          <w:b/>
          <w:bCs/>
          <w:lang w:val="ro-RO"/>
        </w:rPr>
        <w:t>H.E. Silvia Davidoiu, Ambassador of Romania to Serbia, H.E. Ivana Jakšić Matović, Consul General of the Republic of Serbia in Timișoara</w:t>
      </w:r>
      <w:r w:rsidRPr="00C07DAA">
        <w:rPr>
          <w:rFonts w:ascii="Open Sans" w:hAnsi="Open Sans" w:cs="Open Sans"/>
          <w:lang w:val="ro-RO"/>
        </w:rPr>
        <w:t xml:space="preserve">, and </w:t>
      </w:r>
      <w:r w:rsidRPr="00C07DAA">
        <w:rPr>
          <w:rFonts w:ascii="Open Sans" w:hAnsi="Open Sans" w:cs="Open Sans"/>
          <w:b/>
          <w:bCs/>
          <w:lang w:val="ro-RO"/>
        </w:rPr>
        <w:t>Mr Gabriel Ghilea, Undersecretary of State within the Ministry of Development, Public Works and Administration</w:t>
      </w:r>
      <w:r w:rsidRPr="00C07DAA">
        <w:rPr>
          <w:rFonts w:ascii="Open Sans" w:hAnsi="Open Sans" w:cs="Open Sans"/>
          <w:lang w:val="ro-RO"/>
        </w:rPr>
        <w:t>. They highlighted the importance of the results achieved through joint projects and the role of European solidarity in fostering development in the border region.</w:t>
      </w:r>
    </w:p>
    <w:p w14:paraId="0DC5D30B" w14:textId="77777777" w:rsidR="00C07DAA" w:rsidRPr="00C07DAA" w:rsidRDefault="00C07DAA" w:rsidP="00C07DAA">
      <w:pPr>
        <w:spacing w:after="0" w:line="276" w:lineRule="auto"/>
        <w:jc w:val="both"/>
        <w:rPr>
          <w:rFonts w:ascii="Open Sans" w:hAnsi="Open Sans" w:cs="Open Sans"/>
          <w:lang w:val="ro-RO"/>
        </w:rPr>
      </w:pPr>
    </w:p>
    <w:p w14:paraId="793DFBE6" w14:textId="77777777" w:rsidR="00C07DAA" w:rsidRPr="00C07DAA" w:rsidRDefault="00C07DAA" w:rsidP="00C07DAA">
      <w:pPr>
        <w:spacing w:after="0" w:line="276" w:lineRule="auto"/>
        <w:jc w:val="both"/>
        <w:rPr>
          <w:rFonts w:ascii="Open Sans" w:hAnsi="Open Sans" w:cs="Open Sans"/>
          <w:lang w:val="ro-RO"/>
        </w:rPr>
      </w:pPr>
      <w:r w:rsidRPr="00C07DAA">
        <w:rPr>
          <w:rFonts w:ascii="Open Sans" w:hAnsi="Open Sans" w:cs="Open Sans"/>
          <w:lang w:val="ro-RO"/>
        </w:rPr>
        <w:t xml:space="preserve">During this edition, </w:t>
      </w:r>
      <w:r w:rsidRPr="00C07DAA">
        <w:rPr>
          <w:rFonts w:ascii="Open Sans" w:hAnsi="Open Sans" w:cs="Open Sans"/>
          <w:b/>
          <w:bCs/>
          <w:lang w:val="ro-RO"/>
        </w:rPr>
        <w:t>21 projects</w:t>
      </w:r>
      <w:r w:rsidRPr="00C07DAA">
        <w:rPr>
          <w:rFonts w:ascii="Open Sans" w:hAnsi="Open Sans" w:cs="Open Sans"/>
          <w:lang w:val="ro-RO"/>
        </w:rPr>
        <w:t xml:space="preserve"> with major impact were awarded in fields such as cross-border connectivity, cultural heritage protection, healthcare and community safety. Among them were successful initiatives with a fund absorption rate of over 99%, such as the rehabilitation of navigation infrastructure on the Bega Canal and the improvement of medical services in neurology and psychiatry. Special awards were granted for projects with a global impact, including the </w:t>
      </w:r>
      <w:r w:rsidRPr="00C07DAA">
        <w:rPr>
          <w:rFonts w:ascii="Open Sans" w:hAnsi="Open Sans" w:cs="Open Sans"/>
          <w:b/>
          <w:bCs/>
          <w:lang w:val="ro-RO"/>
        </w:rPr>
        <w:t>2023 RegioStars Award-winning</w:t>
      </w:r>
      <w:r w:rsidRPr="00C07DAA">
        <w:rPr>
          <w:rFonts w:ascii="Open Sans" w:hAnsi="Open Sans" w:cs="Open Sans"/>
          <w:lang w:val="ro-RO"/>
        </w:rPr>
        <w:t xml:space="preserve"> project on water quality monitoring in mining areas, as well as initiatives with strong social and cultural significance, which strengthened cross-border cooperation by promoting traditions, education and inclusion. Outstanding partnerships developed for managing emergency situations in the Banat region were also recognised, underlining the importance of cross-border cooperation for the sustainable and safe development of communities.</w:t>
      </w:r>
    </w:p>
    <w:p w14:paraId="59F59B84" w14:textId="77777777" w:rsidR="00C07DAA" w:rsidRPr="00C07DAA" w:rsidRDefault="00C07DAA" w:rsidP="00C07DAA">
      <w:pPr>
        <w:spacing w:after="0" w:line="276" w:lineRule="auto"/>
        <w:jc w:val="both"/>
        <w:rPr>
          <w:rFonts w:ascii="Open Sans" w:hAnsi="Open Sans" w:cs="Open Sans"/>
          <w:lang w:val="ro-RO"/>
        </w:rPr>
      </w:pPr>
    </w:p>
    <w:p w14:paraId="3E5C059F" w14:textId="77777777" w:rsidR="00C07DAA" w:rsidRPr="00C07DAA" w:rsidRDefault="00C07DAA" w:rsidP="00C07DAA">
      <w:pPr>
        <w:spacing w:after="0" w:line="276" w:lineRule="auto"/>
        <w:jc w:val="both"/>
        <w:rPr>
          <w:rFonts w:ascii="Open Sans" w:hAnsi="Open Sans" w:cs="Open Sans"/>
          <w:lang w:val="ro-RO"/>
        </w:rPr>
      </w:pPr>
      <w:r w:rsidRPr="00C07DAA">
        <w:rPr>
          <w:rFonts w:ascii="Open Sans" w:hAnsi="Open Sans" w:cs="Open Sans"/>
          <w:lang w:val="ro-RO"/>
        </w:rPr>
        <w:t>The programme also featured a cultural moment offered by students of the Faculty of Music in Timișoara, who performed traditional Romanian and Serbian pieces, symbolising the cultural ties between the two states.</w:t>
      </w:r>
    </w:p>
    <w:p w14:paraId="6B508977" w14:textId="77777777" w:rsidR="00C07DAA" w:rsidRPr="00C07DAA" w:rsidRDefault="00C07DAA" w:rsidP="00C07DAA">
      <w:pPr>
        <w:spacing w:after="0" w:line="276" w:lineRule="auto"/>
        <w:jc w:val="both"/>
        <w:rPr>
          <w:rFonts w:ascii="Open Sans" w:hAnsi="Open Sans" w:cs="Open Sans"/>
          <w:lang w:val="ro-RO"/>
        </w:rPr>
      </w:pPr>
    </w:p>
    <w:p w14:paraId="0BB678DE" w14:textId="77777777" w:rsidR="00C07DAA" w:rsidRPr="00C07DAA" w:rsidRDefault="00C07DAA" w:rsidP="00C07DAA">
      <w:pPr>
        <w:spacing w:after="0" w:line="276" w:lineRule="auto"/>
        <w:jc w:val="both"/>
        <w:rPr>
          <w:rFonts w:ascii="Open Sans" w:hAnsi="Open Sans" w:cs="Open Sans"/>
          <w:lang w:val="ro-RO"/>
        </w:rPr>
      </w:pPr>
      <w:r w:rsidRPr="00C07DAA">
        <w:rPr>
          <w:rFonts w:ascii="Open Sans" w:hAnsi="Open Sans" w:cs="Open Sans"/>
          <w:lang w:val="ro-RO"/>
        </w:rPr>
        <w:t xml:space="preserve">The second part of the event took place on </w:t>
      </w:r>
      <w:r w:rsidRPr="00C07DAA">
        <w:rPr>
          <w:rFonts w:ascii="Open Sans" w:hAnsi="Open Sans" w:cs="Open Sans"/>
          <w:b/>
          <w:bCs/>
          <w:lang w:val="ro-RO"/>
        </w:rPr>
        <w:t>1 October</w:t>
      </w:r>
      <w:r w:rsidRPr="00C07DAA">
        <w:rPr>
          <w:rFonts w:ascii="Open Sans" w:hAnsi="Open Sans" w:cs="Open Sans"/>
          <w:lang w:val="ro-RO"/>
        </w:rPr>
        <w:t>, with a visit to the Bega Canal and the hydrotechnical node at Sânmihaiu Român, modernised through the strategic project “Repairing Navigation Infrastructure on the Bega Canal” (RORS-15), financed under the Interreg-IPA Romania-Serbia Programme.</w:t>
      </w:r>
    </w:p>
    <w:p w14:paraId="7247A002" w14:textId="77777777" w:rsidR="00C07DAA" w:rsidRPr="00C07DAA" w:rsidRDefault="00C07DAA" w:rsidP="00C07DAA">
      <w:pPr>
        <w:spacing w:after="0" w:line="276" w:lineRule="auto"/>
        <w:jc w:val="both"/>
        <w:rPr>
          <w:rFonts w:ascii="Open Sans" w:hAnsi="Open Sans" w:cs="Open Sans"/>
          <w:lang w:val="ro-RO"/>
        </w:rPr>
      </w:pPr>
    </w:p>
    <w:p w14:paraId="40D251E1" w14:textId="77777777" w:rsidR="00C07DAA" w:rsidRPr="00C07DAA" w:rsidRDefault="00C07DAA" w:rsidP="00C07DAA">
      <w:pPr>
        <w:spacing w:after="0" w:line="276" w:lineRule="auto"/>
        <w:jc w:val="both"/>
        <w:rPr>
          <w:rFonts w:ascii="Open Sans" w:hAnsi="Open Sans" w:cs="Open Sans"/>
          <w:lang w:val="ro-RO"/>
        </w:rPr>
      </w:pPr>
      <w:r w:rsidRPr="00C07DAA">
        <w:rPr>
          <w:rFonts w:ascii="Open Sans" w:hAnsi="Open Sans" w:cs="Open Sans"/>
          <w:lang w:val="ro-RO"/>
        </w:rPr>
        <w:lastRenderedPageBreak/>
        <w:t xml:space="preserve">This year’s edition of </w:t>
      </w:r>
      <w:r w:rsidRPr="00C07DAA">
        <w:rPr>
          <w:rFonts w:ascii="Open Sans" w:hAnsi="Open Sans" w:cs="Open Sans"/>
          <w:b/>
          <w:bCs/>
          <w:lang w:val="ro-RO"/>
        </w:rPr>
        <w:t>Interreg programmes</w:t>
      </w:r>
      <w:r w:rsidRPr="00C07DAA">
        <w:rPr>
          <w:rFonts w:ascii="Open Sans" w:hAnsi="Open Sans" w:cs="Open Sans"/>
          <w:lang w:val="ro-RO"/>
        </w:rPr>
        <w:t xml:space="preserve"> demonstrated once again </w:t>
      </w:r>
      <w:r w:rsidRPr="00C07DAA">
        <w:rPr>
          <w:rFonts w:ascii="Open Sans" w:hAnsi="Open Sans" w:cs="Open Sans"/>
          <w:b/>
          <w:bCs/>
          <w:lang w:val="ro-RO"/>
        </w:rPr>
        <w:t xml:space="preserve">that European funding means </w:t>
      </w:r>
      <w:r w:rsidRPr="00C07DAA">
        <w:rPr>
          <w:rFonts w:ascii="Open Sans" w:hAnsi="Open Sans" w:cs="Open Sans"/>
          <w:lang w:val="ro-RO"/>
        </w:rPr>
        <w:t>improved infrastructure, stronger cross-border connectivity, institutional cooperation and the consolidation of neighbourly relations between Romania and Serbia.</w:t>
      </w:r>
    </w:p>
    <w:p w14:paraId="5F9C06F8" w14:textId="3E835C6D" w:rsidR="00C07DAA" w:rsidRPr="00C07DAA" w:rsidRDefault="00C07DAA" w:rsidP="00C07DAA">
      <w:pPr>
        <w:spacing w:after="0" w:line="276" w:lineRule="auto"/>
        <w:jc w:val="center"/>
        <w:rPr>
          <w:rFonts w:ascii="Open Sans" w:hAnsi="Open Sans" w:cs="Open Sans"/>
          <w:b/>
          <w:bCs/>
          <w:lang w:val="ro-RO"/>
        </w:rPr>
      </w:pPr>
      <w:r w:rsidRPr="00C07DAA">
        <w:rPr>
          <w:rFonts w:ascii="Open Sans" w:hAnsi="Open Sans" w:cs="Open Sans"/>
          <w:b/>
          <w:bCs/>
          <w:lang w:val="ro-RO"/>
        </w:rPr>
        <w:t>***</w:t>
      </w:r>
    </w:p>
    <w:p w14:paraId="7FC436F3" w14:textId="77777777" w:rsidR="00C07DAA" w:rsidRPr="00C07DAA" w:rsidRDefault="00C07DAA" w:rsidP="00C07DAA">
      <w:pPr>
        <w:spacing w:after="0" w:line="276" w:lineRule="auto"/>
        <w:jc w:val="both"/>
        <w:rPr>
          <w:rFonts w:ascii="Open Sans" w:hAnsi="Open Sans" w:cs="Open Sans"/>
          <w:b/>
          <w:bCs/>
          <w:lang w:val="ro-RO"/>
        </w:rPr>
      </w:pPr>
      <w:r w:rsidRPr="00C07DAA">
        <w:rPr>
          <w:rFonts w:ascii="Open Sans" w:hAnsi="Open Sans" w:cs="Open Sans"/>
          <w:b/>
          <w:bCs/>
          <w:lang w:val="ro-RO"/>
        </w:rPr>
        <w:t>Interreg Cooperation Day – A European Celebration</w:t>
      </w:r>
    </w:p>
    <w:p w14:paraId="257D06D5" w14:textId="77777777" w:rsidR="00C07DAA" w:rsidRPr="00C07DAA" w:rsidRDefault="00C07DAA" w:rsidP="00C07DAA">
      <w:pPr>
        <w:spacing w:after="0" w:line="276" w:lineRule="auto"/>
        <w:jc w:val="both"/>
        <w:rPr>
          <w:rFonts w:ascii="Open Sans" w:hAnsi="Open Sans" w:cs="Open Sans"/>
          <w:lang w:val="ro-RO"/>
        </w:rPr>
      </w:pPr>
      <w:r w:rsidRPr="00C07DAA">
        <w:rPr>
          <w:rFonts w:ascii="Open Sans" w:hAnsi="Open Sans" w:cs="Open Sans"/>
          <w:lang w:val="ro-RO"/>
        </w:rPr>
        <w:t xml:space="preserve">Since 2012, Romania and Serbia have joined the more than </w:t>
      </w:r>
      <w:r w:rsidRPr="00C07DAA">
        <w:rPr>
          <w:rFonts w:ascii="Open Sans" w:hAnsi="Open Sans" w:cs="Open Sans"/>
          <w:b/>
          <w:bCs/>
          <w:lang w:val="ro-RO"/>
        </w:rPr>
        <w:t>1,490 events</w:t>
      </w:r>
      <w:r w:rsidRPr="00C07DAA">
        <w:rPr>
          <w:rFonts w:ascii="Open Sans" w:hAnsi="Open Sans" w:cs="Open Sans"/>
          <w:lang w:val="ro-RO"/>
        </w:rPr>
        <w:t xml:space="preserve"> organised across the European Union to celebrate Interreg Cooperation Day, events with an estimated reach of over </w:t>
      </w:r>
      <w:r w:rsidRPr="00C07DAA">
        <w:rPr>
          <w:rFonts w:ascii="Open Sans" w:hAnsi="Open Sans" w:cs="Open Sans"/>
          <w:b/>
          <w:bCs/>
          <w:lang w:val="ro-RO"/>
        </w:rPr>
        <w:t>47 million people</w:t>
      </w:r>
      <w:r w:rsidRPr="00C07DAA">
        <w:rPr>
          <w:rFonts w:ascii="Open Sans" w:hAnsi="Open Sans" w:cs="Open Sans"/>
          <w:lang w:val="ro-RO"/>
        </w:rPr>
        <w:t>.</w:t>
      </w:r>
    </w:p>
    <w:p w14:paraId="487BEB46" w14:textId="77777777" w:rsidR="00C07DAA" w:rsidRPr="00C07DAA" w:rsidRDefault="00C07DAA" w:rsidP="00C07DAA">
      <w:pPr>
        <w:spacing w:after="0" w:line="276" w:lineRule="auto"/>
        <w:jc w:val="both"/>
        <w:rPr>
          <w:rFonts w:ascii="Open Sans" w:hAnsi="Open Sans" w:cs="Open Sans"/>
          <w:lang w:val="ro-RO"/>
        </w:rPr>
      </w:pPr>
    </w:p>
    <w:p w14:paraId="54FDCAB9" w14:textId="77777777" w:rsidR="00C07DAA" w:rsidRPr="00C07DAA" w:rsidRDefault="00C07DAA" w:rsidP="00C07DAA">
      <w:pPr>
        <w:spacing w:after="0" w:line="276" w:lineRule="auto"/>
        <w:jc w:val="both"/>
        <w:rPr>
          <w:rFonts w:ascii="Open Sans" w:hAnsi="Open Sans" w:cs="Open Sans"/>
          <w:lang w:val="ro-RO"/>
        </w:rPr>
      </w:pPr>
      <w:r w:rsidRPr="00C07DAA">
        <w:rPr>
          <w:rFonts w:ascii="Open Sans" w:hAnsi="Open Sans" w:cs="Open Sans"/>
          <w:lang w:val="ro-RO"/>
        </w:rPr>
        <w:t xml:space="preserve">The 2025 edition carries a special significance: we are marking 35 years of Interreg, an opportunity to reflect on the journey of this initiative which has become a cornerstone of the European Union’s cohesion policy. Over time, Interreg has brought together tens of thousands of partners and projects, building real bridges between communities. This theme also gives us the chance to reflect on </w:t>
      </w:r>
      <w:r w:rsidRPr="00C07DAA">
        <w:rPr>
          <w:rFonts w:ascii="Open Sans" w:hAnsi="Open Sans" w:cs="Open Sans"/>
          <w:b/>
          <w:bCs/>
          <w:lang w:val="ro-RO"/>
        </w:rPr>
        <w:t>cross-border cooperation at the Romania-Serbia border, now celebrating more than two decades.</w:t>
      </w:r>
    </w:p>
    <w:p w14:paraId="2757036F" w14:textId="77777777" w:rsidR="00C07DAA" w:rsidRPr="00C07DAA" w:rsidRDefault="00C07DAA" w:rsidP="00C07DAA">
      <w:pPr>
        <w:spacing w:after="0" w:line="276" w:lineRule="auto"/>
        <w:jc w:val="both"/>
        <w:rPr>
          <w:rFonts w:ascii="Open Sans" w:hAnsi="Open Sans" w:cs="Open Sans"/>
          <w:lang w:val="ro-RO"/>
        </w:rPr>
      </w:pPr>
    </w:p>
    <w:p w14:paraId="4187C29F" w14:textId="502B8633" w:rsidR="00872E6F" w:rsidRPr="00C07DAA" w:rsidRDefault="00C07DAA" w:rsidP="00C07DAA">
      <w:pPr>
        <w:spacing w:after="0" w:line="276" w:lineRule="auto"/>
        <w:jc w:val="both"/>
        <w:rPr>
          <w:rFonts w:ascii="Open Sans" w:hAnsi="Open Sans" w:cs="Open Sans"/>
          <w:i/>
          <w:iCs/>
          <w:lang w:val="ro-RO"/>
        </w:rPr>
      </w:pPr>
      <w:r w:rsidRPr="00C07DAA">
        <w:rPr>
          <w:rFonts w:ascii="Open Sans" w:hAnsi="Open Sans" w:cs="Open Sans"/>
          <w:i/>
          <w:iCs/>
          <w:lang w:val="ro-RO"/>
        </w:rPr>
        <w:t>Interreg Cooperation Day is a celebration of the communities on both sides of the Danube and proof that European solidarity delivers tangible results. Through the event in Timișoara and the experience of sailing on the Bega River, we aim to showcase concrete outcomes of Romanian-Serbian cooperation in areas such as cross-border connectivity, joint infrastructure development, environmental protection and institutional collaboration – all of which contribute to improving the quality of life for local communities in the border area.</w:t>
      </w:r>
    </w:p>
    <w:sectPr w:rsidR="00872E6F" w:rsidRPr="00C07DAA" w:rsidSect="00A97B85">
      <w:headerReference w:type="even" r:id="rId8"/>
      <w:headerReference w:type="default" r:id="rId9"/>
      <w:footerReference w:type="even" r:id="rId10"/>
      <w:footerReference w:type="default" r:id="rId11"/>
      <w:headerReference w:type="first" r:id="rId12"/>
      <w:footerReference w:type="first" r:id="rId13"/>
      <w:pgSz w:w="11907" w:h="16840" w:code="9"/>
      <w:pgMar w:top="1956" w:right="1418" w:bottom="851" w:left="1418" w:header="568"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CFC41" w14:textId="77777777" w:rsidR="00C95F05" w:rsidRDefault="00C95F05" w:rsidP="00143A8F">
      <w:pPr>
        <w:spacing w:after="0" w:line="240" w:lineRule="auto"/>
      </w:pPr>
      <w:r>
        <w:separator/>
      </w:r>
    </w:p>
  </w:endnote>
  <w:endnote w:type="continuationSeparator" w:id="0">
    <w:p w14:paraId="427CF308" w14:textId="77777777" w:rsidR="00C95F05" w:rsidRDefault="00C95F05" w:rsidP="00143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6B0B" w14:textId="77777777" w:rsidR="00D02974" w:rsidRDefault="00D02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E9CC" w14:textId="1EA54BEF" w:rsidR="007069C6" w:rsidRDefault="0080577B" w:rsidP="0055573B">
    <w:pPr>
      <w:pStyle w:val="Footer"/>
      <w:ind w:right="360"/>
    </w:pPr>
    <w:r w:rsidRPr="0080577B">
      <w:rPr>
        <w:noProof/>
      </w:rPr>
      <w:drawing>
        <wp:anchor distT="0" distB="0" distL="114300" distR="114300" simplePos="0" relativeHeight="251683840" behindDoc="1" locked="0" layoutInCell="1" allowOverlap="1" wp14:anchorId="092A3093" wp14:editId="6E4C3037">
          <wp:simplePos x="0" y="0"/>
          <wp:positionH relativeFrom="column">
            <wp:posOffset>-1215044</wp:posOffset>
          </wp:positionH>
          <wp:positionV relativeFrom="paragraph">
            <wp:posOffset>-3870236</wp:posOffset>
          </wp:positionV>
          <wp:extent cx="1071112" cy="716915"/>
          <wp:effectExtent l="5397" t="0" r="0" b="1587"/>
          <wp:wrapNone/>
          <wp:docPr id="2" name="Picture 2" descr="C:\Users\dani.bardos\Downloads\Untitled design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dani.bardos\Downloads\Untitled design (6).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rot="5400000">
                    <a:off x="0" y="0"/>
                    <a:ext cx="1071112" cy="716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80577B">
      <w:rPr>
        <w:noProof/>
      </w:rPr>
      <w:drawing>
        <wp:anchor distT="0" distB="0" distL="114300" distR="114300" simplePos="0" relativeHeight="251681792" behindDoc="1" locked="0" layoutInCell="1" allowOverlap="1" wp14:anchorId="6B3D8E32" wp14:editId="7BD3B64E">
          <wp:simplePos x="0" y="0"/>
          <wp:positionH relativeFrom="column">
            <wp:posOffset>3555365</wp:posOffset>
          </wp:positionH>
          <wp:positionV relativeFrom="paragraph">
            <wp:posOffset>-661954</wp:posOffset>
          </wp:positionV>
          <wp:extent cx="3084505" cy="1105877"/>
          <wp:effectExtent l="0" t="0" r="1905" b="0"/>
          <wp:wrapNone/>
          <wp:docPr id="1" name="Picture 1" descr="C:\Users\dani.bardos\Downloads\Untitled design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dani.bardos\Downloads\Untitled design (6).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3084505" cy="11058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2D26">
      <w:tab/>
    </w:r>
    <w:bookmarkStart w:id="0" w:name="_Hlk145338296"/>
    <w:bookmarkStart w:id="1" w:name="_Hlk145338297"/>
    <w:r w:rsidR="007069C6">
      <w:rPr>
        <w:noProof/>
      </w:rPr>
      <mc:AlternateContent>
        <mc:Choice Requires="wps">
          <w:drawing>
            <wp:anchor distT="4294967295" distB="4294967295" distL="114300" distR="114300" simplePos="0" relativeHeight="251677696" behindDoc="0" locked="0" layoutInCell="1" allowOverlap="1" wp14:anchorId="680103EC" wp14:editId="0A006B46">
              <wp:simplePos x="0" y="0"/>
              <wp:positionH relativeFrom="column">
                <wp:posOffset>-7620</wp:posOffset>
              </wp:positionH>
              <wp:positionV relativeFrom="paragraph">
                <wp:posOffset>9697084</wp:posOffset>
              </wp:positionV>
              <wp:extent cx="756348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3485" cy="0"/>
                      </a:xfrm>
                      <a:prstGeom prst="line">
                        <a:avLst/>
                      </a:prstGeom>
                      <a:noFill/>
                      <a:ln w="19050" cap="flat" cmpd="sng" algn="ctr">
                        <a:solidFill>
                          <a:sysClr val="window" lastClr="FFFFFF">
                            <a:lumMod val="50000"/>
                          </a:sysClr>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0831EA" id="Straight Connector 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763.55pt" to="594.95pt,7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" strokecolor="#7f7f7f" strokeweight="1.5pt">
              <v:stroke dashstyle="dash" joinstyle="miter"/>
              <o:lock v:ext="edit" shapetype="f"/>
            </v:line>
          </w:pict>
        </mc:Fallback>
      </mc:AlternateContent>
    </w:r>
    <w:r w:rsidR="007069C6">
      <w:rPr>
        <w:noProof/>
      </w:rPr>
      <w:drawing>
        <wp:anchor distT="0" distB="0" distL="114300" distR="114300" simplePos="0" relativeHeight="251678720" behindDoc="0" locked="0" layoutInCell="1" allowOverlap="1" wp14:anchorId="4D201D8B" wp14:editId="641A316A">
          <wp:simplePos x="0" y="0"/>
          <wp:positionH relativeFrom="column">
            <wp:posOffset>2293620</wp:posOffset>
          </wp:positionH>
          <wp:positionV relativeFrom="paragraph">
            <wp:posOffset>9883140</wp:posOffset>
          </wp:positionV>
          <wp:extent cx="575945" cy="575945"/>
          <wp:effectExtent l="0" t="0" r="0" b="0"/>
          <wp:wrapSquare wrapText="bothSides"/>
          <wp:docPr id="4600344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p>
  <w:p w14:paraId="29E3E422" w14:textId="5132EC43" w:rsidR="00143A8F" w:rsidRDefault="00143A8F" w:rsidP="0080577B">
    <w:pPr>
      <w:pStyle w:val="Footer"/>
      <w:tabs>
        <w:tab w:val="clear" w:pos="4680"/>
        <w:tab w:val="clear" w:pos="9360"/>
        <w:tab w:val="left" w:pos="541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8698" w14:textId="77777777" w:rsidR="00D02974" w:rsidRDefault="00D02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D5534" w14:textId="77777777" w:rsidR="00C95F05" w:rsidRDefault="00C95F05" w:rsidP="00143A8F">
      <w:pPr>
        <w:spacing w:after="0" w:line="240" w:lineRule="auto"/>
      </w:pPr>
      <w:r>
        <w:separator/>
      </w:r>
    </w:p>
  </w:footnote>
  <w:footnote w:type="continuationSeparator" w:id="0">
    <w:p w14:paraId="1A89DCCD" w14:textId="77777777" w:rsidR="00C95F05" w:rsidRDefault="00C95F05" w:rsidP="00143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82C3" w14:textId="77777777" w:rsidR="00D02974" w:rsidRDefault="00D02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6967" w14:textId="42A767E0" w:rsidR="00143A8F" w:rsidRDefault="00DB3632">
    <w:pPr>
      <w:pStyle w:val="Header"/>
    </w:pPr>
    <w:r>
      <w:rPr>
        <w:rFonts w:ascii="Open Sans" w:hAnsi="Open Sans" w:cs="Open Sans"/>
        <w:noProof/>
      </w:rPr>
      <w:drawing>
        <wp:anchor distT="0" distB="0" distL="114300" distR="114300" simplePos="0" relativeHeight="251687936" behindDoc="1" locked="0" layoutInCell="1" allowOverlap="1" wp14:anchorId="0087A783" wp14:editId="5B3559D9">
          <wp:simplePos x="0" y="0"/>
          <wp:positionH relativeFrom="margin">
            <wp:posOffset>4402455</wp:posOffset>
          </wp:positionH>
          <wp:positionV relativeFrom="paragraph">
            <wp:posOffset>75565</wp:posOffset>
          </wp:positionV>
          <wp:extent cx="1357630" cy="671830"/>
          <wp:effectExtent l="0" t="0" r="0" b="0"/>
          <wp:wrapTight wrapText="bothSides">
            <wp:wrapPolygon edited="0">
              <wp:start x="3940" y="0"/>
              <wp:lineTo x="0" y="6737"/>
              <wp:lineTo x="0" y="9187"/>
              <wp:lineTo x="303" y="11025"/>
              <wp:lineTo x="4849" y="20212"/>
              <wp:lineTo x="6365" y="20824"/>
              <wp:lineTo x="8183" y="20824"/>
              <wp:lineTo x="12730" y="20824"/>
              <wp:lineTo x="14245" y="20824"/>
              <wp:lineTo x="15761" y="20212"/>
              <wp:lineTo x="21216" y="10412"/>
              <wp:lineTo x="21216" y="6125"/>
              <wp:lineTo x="17276" y="0"/>
              <wp:lineTo x="3940" y="0"/>
            </wp:wrapPolygon>
          </wp:wrapTight>
          <wp:docPr id="7472638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00144" name="Picture 1156200144"/>
                  <pic:cNvPicPr/>
                </pic:nvPicPr>
                <pic:blipFill>
                  <a:blip r:embed="rId1">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357630" cy="6718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557A6FD6" wp14:editId="2B48C67B">
          <wp:simplePos x="0" y="0"/>
          <wp:positionH relativeFrom="margin">
            <wp:posOffset>-128906</wp:posOffset>
          </wp:positionH>
          <wp:positionV relativeFrom="paragraph">
            <wp:posOffset>-103505</wp:posOffset>
          </wp:positionV>
          <wp:extent cx="3138547" cy="942975"/>
          <wp:effectExtent l="0" t="0" r="0" b="0"/>
          <wp:wrapNone/>
          <wp:docPr id="1718125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2547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3143532" cy="944473"/>
                  </a:xfrm>
                  <a:prstGeom prst="rect">
                    <a:avLst/>
                  </a:prstGeom>
                </pic:spPr>
              </pic:pic>
            </a:graphicData>
          </a:graphic>
          <wp14:sizeRelH relativeFrom="margin">
            <wp14:pctWidth>0</wp14:pctWidth>
          </wp14:sizeRelH>
          <wp14:sizeRelV relativeFrom="margin">
            <wp14:pctHeight>0</wp14:pctHeight>
          </wp14:sizeRelV>
        </wp:anchor>
      </w:drawing>
    </w:r>
    <w:r w:rsidR="0080577B" w:rsidRPr="0080577B">
      <w:rPr>
        <w:noProof/>
      </w:rPr>
      <w:drawing>
        <wp:anchor distT="0" distB="0" distL="114300" distR="114300" simplePos="0" relativeHeight="251685888" behindDoc="1" locked="0" layoutInCell="1" allowOverlap="1" wp14:anchorId="2D592862" wp14:editId="1250555D">
          <wp:simplePos x="0" y="0"/>
          <wp:positionH relativeFrom="column">
            <wp:posOffset>5073176</wp:posOffset>
          </wp:positionH>
          <wp:positionV relativeFrom="paragraph">
            <wp:posOffset>3278524</wp:posOffset>
          </wp:positionV>
          <wp:extent cx="1985542" cy="1568854"/>
          <wp:effectExtent l="0" t="0" r="0" b="0"/>
          <wp:wrapNone/>
          <wp:docPr id="4" name="Picture 4" descr="C:\Users\dani.bardos\Downloads\Untitled design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dani.bardos\Downloads\Untitled design (6).pn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a:stretch/>
                </pic:blipFill>
                <pic:spPr bwMode="auto">
                  <a:xfrm rot="16200000">
                    <a:off x="0" y="0"/>
                    <a:ext cx="1985542" cy="15688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88E6" w14:textId="77777777" w:rsidR="00D02974" w:rsidRDefault="00D02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75675"/>
    <w:multiLevelType w:val="hybridMultilevel"/>
    <w:tmpl w:val="04D49162"/>
    <w:lvl w:ilvl="0" w:tplc="410608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D3CA4"/>
    <w:multiLevelType w:val="multilevel"/>
    <w:tmpl w:val="44AC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031960">
    <w:abstractNumId w:val="0"/>
  </w:num>
  <w:num w:numId="2" w16cid:durableId="125235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A8F"/>
    <w:rsid w:val="0000203F"/>
    <w:rsid w:val="000042C3"/>
    <w:rsid w:val="00010BE4"/>
    <w:rsid w:val="00021450"/>
    <w:rsid w:val="00025B1E"/>
    <w:rsid w:val="00027347"/>
    <w:rsid w:val="000600B0"/>
    <w:rsid w:val="000661A5"/>
    <w:rsid w:val="00066B29"/>
    <w:rsid w:val="000703B5"/>
    <w:rsid w:val="00071C70"/>
    <w:rsid w:val="00076BAE"/>
    <w:rsid w:val="0008282A"/>
    <w:rsid w:val="00083E7F"/>
    <w:rsid w:val="00096BA5"/>
    <w:rsid w:val="000A57A5"/>
    <w:rsid w:val="000B340F"/>
    <w:rsid w:val="000B3513"/>
    <w:rsid w:val="000B41BA"/>
    <w:rsid w:val="000B4FFC"/>
    <w:rsid w:val="000D6686"/>
    <w:rsid w:val="000F3433"/>
    <w:rsid w:val="001016C8"/>
    <w:rsid w:val="00102A6A"/>
    <w:rsid w:val="00105A2C"/>
    <w:rsid w:val="00106BCF"/>
    <w:rsid w:val="00115787"/>
    <w:rsid w:val="001251BD"/>
    <w:rsid w:val="0013263A"/>
    <w:rsid w:val="001404DD"/>
    <w:rsid w:val="00143A8F"/>
    <w:rsid w:val="00144CD5"/>
    <w:rsid w:val="00161F4B"/>
    <w:rsid w:val="001650B0"/>
    <w:rsid w:val="00167870"/>
    <w:rsid w:val="00174A6A"/>
    <w:rsid w:val="00185CCC"/>
    <w:rsid w:val="00187C58"/>
    <w:rsid w:val="0019112E"/>
    <w:rsid w:val="001C6E3B"/>
    <w:rsid w:val="001E1624"/>
    <w:rsid w:val="001F6F46"/>
    <w:rsid w:val="00212959"/>
    <w:rsid w:val="00217640"/>
    <w:rsid w:val="00236B92"/>
    <w:rsid w:val="00240EFC"/>
    <w:rsid w:val="00251AA6"/>
    <w:rsid w:val="00257C16"/>
    <w:rsid w:val="00257CF3"/>
    <w:rsid w:val="00261C6A"/>
    <w:rsid w:val="00265A7D"/>
    <w:rsid w:val="002700D2"/>
    <w:rsid w:val="00271083"/>
    <w:rsid w:val="002722C6"/>
    <w:rsid w:val="00276320"/>
    <w:rsid w:val="0029754D"/>
    <w:rsid w:val="002A0359"/>
    <w:rsid w:val="002A5625"/>
    <w:rsid w:val="002A60C7"/>
    <w:rsid w:val="002B5188"/>
    <w:rsid w:val="002C07C4"/>
    <w:rsid w:val="002D3A58"/>
    <w:rsid w:val="002E5994"/>
    <w:rsid w:val="002E601B"/>
    <w:rsid w:val="002F0E11"/>
    <w:rsid w:val="002F4894"/>
    <w:rsid w:val="00303B9A"/>
    <w:rsid w:val="0031442F"/>
    <w:rsid w:val="0032227D"/>
    <w:rsid w:val="00342CC5"/>
    <w:rsid w:val="003706FA"/>
    <w:rsid w:val="0037541D"/>
    <w:rsid w:val="00396521"/>
    <w:rsid w:val="003A4B1F"/>
    <w:rsid w:val="003A65D6"/>
    <w:rsid w:val="003B2FA0"/>
    <w:rsid w:val="003D2477"/>
    <w:rsid w:val="003D338C"/>
    <w:rsid w:val="00416B11"/>
    <w:rsid w:val="004306A6"/>
    <w:rsid w:val="00441D65"/>
    <w:rsid w:val="00455884"/>
    <w:rsid w:val="00457D7A"/>
    <w:rsid w:val="00467623"/>
    <w:rsid w:val="004A7417"/>
    <w:rsid w:val="004C2B43"/>
    <w:rsid w:val="004C42BD"/>
    <w:rsid w:val="004C7EE2"/>
    <w:rsid w:val="004F530D"/>
    <w:rsid w:val="00507299"/>
    <w:rsid w:val="00547FBA"/>
    <w:rsid w:val="0055573B"/>
    <w:rsid w:val="005611AD"/>
    <w:rsid w:val="00561BB2"/>
    <w:rsid w:val="005750A3"/>
    <w:rsid w:val="005A0987"/>
    <w:rsid w:val="005A1761"/>
    <w:rsid w:val="005B5619"/>
    <w:rsid w:val="005B7EB9"/>
    <w:rsid w:val="005C2861"/>
    <w:rsid w:val="00614B78"/>
    <w:rsid w:val="00640A3E"/>
    <w:rsid w:val="006600C5"/>
    <w:rsid w:val="00697A31"/>
    <w:rsid w:val="006A2BE4"/>
    <w:rsid w:val="006A4487"/>
    <w:rsid w:val="006C2D26"/>
    <w:rsid w:val="006D1387"/>
    <w:rsid w:val="007007FD"/>
    <w:rsid w:val="00700CD0"/>
    <w:rsid w:val="007069C6"/>
    <w:rsid w:val="00710951"/>
    <w:rsid w:val="00721FBF"/>
    <w:rsid w:val="00742086"/>
    <w:rsid w:val="007421B0"/>
    <w:rsid w:val="0074482A"/>
    <w:rsid w:val="0074584B"/>
    <w:rsid w:val="00754F65"/>
    <w:rsid w:val="00792563"/>
    <w:rsid w:val="00794884"/>
    <w:rsid w:val="007A4D71"/>
    <w:rsid w:val="007B3C7C"/>
    <w:rsid w:val="007C067E"/>
    <w:rsid w:val="007D2D43"/>
    <w:rsid w:val="007E2F3D"/>
    <w:rsid w:val="007F276C"/>
    <w:rsid w:val="007F7BE7"/>
    <w:rsid w:val="0080577B"/>
    <w:rsid w:val="008151D8"/>
    <w:rsid w:val="00872E6F"/>
    <w:rsid w:val="008844F3"/>
    <w:rsid w:val="008951F0"/>
    <w:rsid w:val="008B030E"/>
    <w:rsid w:val="008B2656"/>
    <w:rsid w:val="008C3480"/>
    <w:rsid w:val="008C4009"/>
    <w:rsid w:val="008C6C2B"/>
    <w:rsid w:val="008D3F32"/>
    <w:rsid w:val="008E0BC2"/>
    <w:rsid w:val="008E5395"/>
    <w:rsid w:val="008F62A3"/>
    <w:rsid w:val="009059A7"/>
    <w:rsid w:val="00926FDA"/>
    <w:rsid w:val="00927061"/>
    <w:rsid w:val="00934E98"/>
    <w:rsid w:val="00934EFD"/>
    <w:rsid w:val="00940CC1"/>
    <w:rsid w:val="0097226F"/>
    <w:rsid w:val="00973B2F"/>
    <w:rsid w:val="00976D66"/>
    <w:rsid w:val="009866C5"/>
    <w:rsid w:val="00987233"/>
    <w:rsid w:val="009A4DD8"/>
    <w:rsid w:val="009B1FEE"/>
    <w:rsid w:val="009B3C55"/>
    <w:rsid w:val="009C4C6C"/>
    <w:rsid w:val="009D4FF6"/>
    <w:rsid w:val="009E47D3"/>
    <w:rsid w:val="009E6BB0"/>
    <w:rsid w:val="009F2A49"/>
    <w:rsid w:val="009F4EAA"/>
    <w:rsid w:val="009F6E1D"/>
    <w:rsid w:val="00A038E1"/>
    <w:rsid w:val="00A13FD9"/>
    <w:rsid w:val="00A26C10"/>
    <w:rsid w:val="00A35AEA"/>
    <w:rsid w:val="00A438BE"/>
    <w:rsid w:val="00A45499"/>
    <w:rsid w:val="00A52223"/>
    <w:rsid w:val="00A64FF5"/>
    <w:rsid w:val="00A7325C"/>
    <w:rsid w:val="00A81269"/>
    <w:rsid w:val="00A8546C"/>
    <w:rsid w:val="00A92CFA"/>
    <w:rsid w:val="00A97B85"/>
    <w:rsid w:val="00AA6DE2"/>
    <w:rsid w:val="00AB19E9"/>
    <w:rsid w:val="00AB3751"/>
    <w:rsid w:val="00AB70A1"/>
    <w:rsid w:val="00AC72F9"/>
    <w:rsid w:val="00AD45E0"/>
    <w:rsid w:val="00AE40B0"/>
    <w:rsid w:val="00AF34BD"/>
    <w:rsid w:val="00B01136"/>
    <w:rsid w:val="00B361E0"/>
    <w:rsid w:val="00B92335"/>
    <w:rsid w:val="00B94954"/>
    <w:rsid w:val="00BA2421"/>
    <w:rsid w:val="00BC1311"/>
    <w:rsid w:val="00BE473E"/>
    <w:rsid w:val="00BE4F57"/>
    <w:rsid w:val="00C07DAA"/>
    <w:rsid w:val="00C27677"/>
    <w:rsid w:val="00C327CC"/>
    <w:rsid w:val="00C328CC"/>
    <w:rsid w:val="00C44491"/>
    <w:rsid w:val="00C51DAA"/>
    <w:rsid w:val="00C55032"/>
    <w:rsid w:val="00C55B01"/>
    <w:rsid w:val="00C90394"/>
    <w:rsid w:val="00C95F05"/>
    <w:rsid w:val="00C9680D"/>
    <w:rsid w:val="00CA1BFA"/>
    <w:rsid w:val="00CA700A"/>
    <w:rsid w:val="00CC05BE"/>
    <w:rsid w:val="00CC7329"/>
    <w:rsid w:val="00CD743D"/>
    <w:rsid w:val="00CE4CAA"/>
    <w:rsid w:val="00D02974"/>
    <w:rsid w:val="00D07B74"/>
    <w:rsid w:val="00D136F1"/>
    <w:rsid w:val="00D27C1B"/>
    <w:rsid w:val="00D35671"/>
    <w:rsid w:val="00D472FC"/>
    <w:rsid w:val="00D5295A"/>
    <w:rsid w:val="00D55B47"/>
    <w:rsid w:val="00D63A42"/>
    <w:rsid w:val="00D814D5"/>
    <w:rsid w:val="00D87BC9"/>
    <w:rsid w:val="00D9111A"/>
    <w:rsid w:val="00DB3632"/>
    <w:rsid w:val="00DC3B38"/>
    <w:rsid w:val="00DD1671"/>
    <w:rsid w:val="00DE665C"/>
    <w:rsid w:val="00DF5DAE"/>
    <w:rsid w:val="00DF7AB7"/>
    <w:rsid w:val="00DF7F41"/>
    <w:rsid w:val="00E00329"/>
    <w:rsid w:val="00E01300"/>
    <w:rsid w:val="00E14D88"/>
    <w:rsid w:val="00E26EAA"/>
    <w:rsid w:val="00E4080E"/>
    <w:rsid w:val="00E54760"/>
    <w:rsid w:val="00E7005C"/>
    <w:rsid w:val="00E83906"/>
    <w:rsid w:val="00E91ED0"/>
    <w:rsid w:val="00E9569A"/>
    <w:rsid w:val="00EA1CE9"/>
    <w:rsid w:val="00EA6521"/>
    <w:rsid w:val="00EB319F"/>
    <w:rsid w:val="00EB5797"/>
    <w:rsid w:val="00EC0FFB"/>
    <w:rsid w:val="00ED1050"/>
    <w:rsid w:val="00ED1235"/>
    <w:rsid w:val="00F11089"/>
    <w:rsid w:val="00F414C0"/>
    <w:rsid w:val="00F42F64"/>
    <w:rsid w:val="00F51AE3"/>
    <w:rsid w:val="00F550D0"/>
    <w:rsid w:val="00F570E3"/>
    <w:rsid w:val="00F74AB1"/>
    <w:rsid w:val="00F760AE"/>
    <w:rsid w:val="00F86AC1"/>
    <w:rsid w:val="00F922A7"/>
    <w:rsid w:val="00F947B8"/>
    <w:rsid w:val="00F9756C"/>
    <w:rsid w:val="00FD1AE3"/>
    <w:rsid w:val="00FD2041"/>
    <w:rsid w:val="00FF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DBC75"/>
  <w15:docId w15:val="{EAA420B7-0728-42D5-AB23-7543201A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72E6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A8F"/>
  </w:style>
  <w:style w:type="paragraph" w:styleId="Footer">
    <w:name w:val="footer"/>
    <w:basedOn w:val="Normal"/>
    <w:link w:val="FooterChar"/>
    <w:unhideWhenUsed/>
    <w:rsid w:val="00143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A8F"/>
  </w:style>
  <w:style w:type="character" w:styleId="Hyperlink">
    <w:name w:val="Hyperlink"/>
    <w:basedOn w:val="DefaultParagraphFont"/>
    <w:uiPriority w:val="99"/>
    <w:unhideWhenUsed/>
    <w:rsid w:val="001F6F46"/>
    <w:rPr>
      <w:color w:val="0563C1" w:themeColor="hyperlink"/>
      <w:u w:val="single"/>
    </w:rPr>
  </w:style>
  <w:style w:type="character" w:customStyle="1" w:styleId="UnresolvedMention1">
    <w:name w:val="Unresolved Mention1"/>
    <w:basedOn w:val="DefaultParagraphFont"/>
    <w:uiPriority w:val="99"/>
    <w:semiHidden/>
    <w:unhideWhenUsed/>
    <w:rsid w:val="001F6F46"/>
    <w:rPr>
      <w:color w:val="605E5C"/>
      <w:shd w:val="clear" w:color="auto" w:fill="E1DFDD"/>
    </w:rPr>
  </w:style>
  <w:style w:type="paragraph" w:styleId="ListParagraph">
    <w:name w:val="List Paragraph"/>
    <w:basedOn w:val="Normal"/>
    <w:uiPriority w:val="34"/>
    <w:qFormat/>
    <w:rsid w:val="00C328CC"/>
    <w:pPr>
      <w:spacing w:after="100" w:line="288" w:lineRule="auto"/>
      <w:ind w:left="720" w:hanging="357"/>
      <w:contextualSpacing/>
      <w:jc w:val="both"/>
    </w:pPr>
    <w:rPr>
      <w:kern w:val="0"/>
      <w:lang w:val="en-GB"/>
      <w14:ligatures w14:val="none"/>
    </w:rPr>
  </w:style>
  <w:style w:type="table" w:styleId="TableGrid">
    <w:name w:val="Table Grid"/>
    <w:basedOn w:val="TableNormal"/>
    <w:uiPriority w:val="39"/>
    <w:rsid w:val="000B3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B3C7C"/>
    <w:rPr>
      <w:color w:val="605E5C"/>
      <w:shd w:val="clear" w:color="auto" w:fill="E1DFDD"/>
    </w:rPr>
  </w:style>
  <w:style w:type="paragraph" w:styleId="NormalWeb">
    <w:name w:val="Normal (Web)"/>
    <w:basedOn w:val="Normal"/>
    <w:uiPriority w:val="99"/>
    <w:semiHidden/>
    <w:unhideWhenUsed/>
    <w:rsid w:val="004676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67623"/>
    <w:rPr>
      <w:b/>
      <w:bCs/>
    </w:rPr>
  </w:style>
  <w:style w:type="character" w:styleId="Emphasis">
    <w:name w:val="Emphasis"/>
    <w:basedOn w:val="DefaultParagraphFont"/>
    <w:uiPriority w:val="20"/>
    <w:qFormat/>
    <w:rsid w:val="00467623"/>
    <w:rPr>
      <w:i/>
      <w:iCs/>
    </w:rPr>
  </w:style>
  <w:style w:type="character" w:customStyle="1" w:styleId="Heading2Char">
    <w:name w:val="Heading 2 Char"/>
    <w:basedOn w:val="DefaultParagraphFont"/>
    <w:link w:val="Heading2"/>
    <w:uiPriority w:val="9"/>
    <w:rsid w:val="00872E6F"/>
    <w:rPr>
      <w:rFonts w:ascii="Times New Roman" w:eastAsia="Times New Roman" w:hAnsi="Times New Roman" w:cs="Times New Roman"/>
      <w:b/>
      <w:bCs/>
      <w:kern w:val="0"/>
      <w:sz w:val="36"/>
      <w:szCs w:val="36"/>
      <w14:ligatures w14:val="none"/>
    </w:rPr>
  </w:style>
  <w:style w:type="paragraph" w:styleId="Revision">
    <w:name w:val="Revision"/>
    <w:hidden/>
    <w:uiPriority w:val="99"/>
    <w:semiHidden/>
    <w:rsid w:val="009F4EAA"/>
    <w:pPr>
      <w:spacing w:after="0" w:line="240" w:lineRule="auto"/>
    </w:pPr>
  </w:style>
  <w:style w:type="character" w:styleId="CommentReference">
    <w:name w:val="annotation reference"/>
    <w:basedOn w:val="DefaultParagraphFont"/>
    <w:uiPriority w:val="99"/>
    <w:semiHidden/>
    <w:unhideWhenUsed/>
    <w:rsid w:val="00C27677"/>
    <w:rPr>
      <w:sz w:val="16"/>
      <w:szCs w:val="16"/>
    </w:rPr>
  </w:style>
  <w:style w:type="paragraph" w:styleId="CommentText">
    <w:name w:val="annotation text"/>
    <w:basedOn w:val="Normal"/>
    <w:link w:val="CommentTextChar"/>
    <w:uiPriority w:val="99"/>
    <w:unhideWhenUsed/>
    <w:rsid w:val="00C27677"/>
    <w:pPr>
      <w:spacing w:line="240" w:lineRule="auto"/>
    </w:pPr>
    <w:rPr>
      <w:sz w:val="20"/>
      <w:szCs w:val="20"/>
    </w:rPr>
  </w:style>
  <w:style w:type="character" w:customStyle="1" w:styleId="CommentTextChar">
    <w:name w:val="Comment Text Char"/>
    <w:basedOn w:val="DefaultParagraphFont"/>
    <w:link w:val="CommentText"/>
    <w:uiPriority w:val="99"/>
    <w:rsid w:val="00C27677"/>
    <w:rPr>
      <w:sz w:val="20"/>
      <w:szCs w:val="20"/>
    </w:rPr>
  </w:style>
  <w:style w:type="paragraph" w:styleId="CommentSubject">
    <w:name w:val="annotation subject"/>
    <w:basedOn w:val="CommentText"/>
    <w:next w:val="CommentText"/>
    <w:link w:val="CommentSubjectChar"/>
    <w:uiPriority w:val="99"/>
    <w:semiHidden/>
    <w:unhideWhenUsed/>
    <w:rsid w:val="00C27677"/>
    <w:rPr>
      <w:b/>
      <w:bCs/>
    </w:rPr>
  </w:style>
  <w:style w:type="character" w:customStyle="1" w:styleId="CommentSubjectChar">
    <w:name w:val="Comment Subject Char"/>
    <w:basedOn w:val="CommentTextChar"/>
    <w:link w:val="CommentSubject"/>
    <w:uiPriority w:val="99"/>
    <w:semiHidden/>
    <w:rsid w:val="00C276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9187">
      <w:bodyDiv w:val="1"/>
      <w:marLeft w:val="0"/>
      <w:marRight w:val="0"/>
      <w:marTop w:val="0"/>
      <w:marBottom w:val="0"/>
      <w:divBdr>
        <w:top w:val="none" w:sz="0" w:space="0" w:color="auto"/>
        <w:left w:val="none" w:sz="0" w:space="0" w:color="auto"/>
        <w:bottom w:val="none" w:sz="0" w:space="0" w:color="auto"/>
        <w:right w:val="none" w:sz="0" w:space="0" w:color="auto"/>
      </w:divBdr>
    </w:div>
    <w:div w:id="583492898">
      <w:bodyDiv w:val="1"/>
      <w:marLeft w:val="0"/>
      <w:marRight w:val="0"/>
      <w:marTop w:val="0"/>
      <w:marBottom w:val="0"/>
      <w:divBdr>
        <w:top w:val="none" w:sz="0" w:space="0" w:color="auto"/>
        <w:left w:val="none" w:sz="0" w:space="0" w:color="auto"/>
        <w:bottom w:val="none" w:sz="0" w:space="0" w:color="auto"/>
        <w:right w:val="none" w:sz="0" w:space="0" w:color="auto"/>
      </w:divBdr>
    </w:div>
    <w:div w:id="608321889">
      <w:bodyDiv w:val="1"/>
      <w:marLeft w:val="0"/>
      <w:marRight w:val="0"/>
      <w:marTop w:val="0"/>
      <w:marBottom w:val="0"/>
      <w:divBdr>
        <w:top w:val="none" w:sz="0" w:space="0" w:color="auto"/>
        <w:left w:val="none" w:sz="0" w:space="0" w:color="auto"/>
        <w:bottom w:val="none" w:sz="0" w:space="0" w:color="auto"/>
        <w:right w:val="none" w:sz="0" w:space="0" w:color="auto"/>
      </w:divBdr>
    </w:div>
    <w:div w:id="740445285">
      <w:bodyDiv w:val="1"/>
      <w:marLeft w:val="0"/>
      <w:marRight w:val="0"/>
      <w:marTop w:val="0"/>
      <w:marBottom w:val="0"/>
      <w:divBdr>
        <w:top w:val="none" w:sz="0" w:space="0" w:color="auto"/>
        <w:left w:val="none" w:sz="0" w:space="0" w:color="auto"/>
        <w:bottom w:val="none" w:sz="0" w:space="0" w:color="auto"/>
        <w:right w:val="none" w:sz="0" w:space="0" w:color="auto"/>
      </w:divBdr>
    </w:div>
    <w:div w:id="796872314">
      <w:bodyDiv w:val="1"/>
      <w:marLeft w:val="0"/>
      <w:marRight w:val="0"/>
      <w:marTop w:val="0"/>
      <w:marBottom w:val="0"/>
      <w:divBdr>
        <w:top w:val="none" w:sz="0" w:space="0" w:color="auto"/>
        <w:left w:val="none" w:sz="0" w:space="0" w:color="auto"/>
        <w:bottom w:val="none" w:sz="0" w:space="0" w:color="auto"/>
        <w:right w:val="none" w:sz="0" w:space="0" w:color="auto"/>
      </w:divBdr>
    </w:div>
    <w:div w:id="1070034271">
      <w:bodyDiv w:val="1"/>
      <w:marLeft w:val="0"/>
      <w:marRight w:val="0"/>
      <w:marTop w:val="0"/>
      <w:marBottom w:val="0"/>
      <w:divBdr>
        <w:top w:val="none" w:sz="0" w:space="0" w:color="auto"/>
        <w:left w:val="none" w:sz="0" w:space="0" w:color="auto"/>
        <w:bottom w:val="none" w:sz="0" w:space="0" w:color="auto"/>
        <w:right w:val="none" w:sz="0" w:space="0" w:color="auto"/>
      </w:divBdr>
    </w:div>
    <w:div w:id="1230847836">
      <w:bodyDiv w:val="1"/>
      <w:marLeft w:val="0"/>
      <w:marRight w:val="0"/>
      <w:marTop w:val="0"/>
      <w:marBottom w:val="0"/>
      <w:divBdr>
        <w:top w:val="none" w:sz="0" w:space="0" w:color="auto"/>
        <w:left w:val="none" w:sz="0" w:space="0" w:color="auto"/>
        <w:bottom w:val="none" w:sz="0" w:space="0" w:color="auto"/>
        <w:right w:val="none" w:sz="0" w:space="0" w:color="auto"/>
      </w:divBdr>
    </w:div>
    <w:div w:id="1395734858">
      <w:bodyDiv w:val="1"/>
      <w:marLeft w:val="0"/>
      <w:marRight w:val="0"/>
      <w:marTop w:val="0"/>
      <w:marBottom w:val="0"/>
      <w:divBdr>
        <w:top w:val="none" w:sz="0" w:space="0" w:color="auto"/>
        <w:left w:val="none" w:sz="0" w:space="0" w:color="auto"/>
        <w:bottom w:val="none" w:sz="0" w:space="0" w:color="auto"/>
        <w:right w:val="none" w:sz="0" w:space="0" w:color="auto"/>
      </w:divBdr>
    </w:div>
    <w:div w:id="1553343558">
      <w:bodyDiv w:val="1"/>
      <w:marLeft w:val="0"/>
      <w:marRight w:val="0"/>
      <w:marTop w:val="0"/>
      <w:marBottom w:val="0"/>
      <w:divBdr>
        <w:top w:val="none" w:sz="0" w:space="0" w:color="auto"/>
        <w:left w:val="none" w:sz="0" w:space="0" w:color="auto"/>
        <w:bottom w:val="none" w:sz="0" w:space="0" w:color="auto"/>
        <w:right w:val="none" w:sz="0" w:space="0" w:color="auto"/>
      </w:divBdr>
    </w:div>
    <w:div w:id="1590887731">
      <w:bodyDiv w:val="1"/>
      <w:marLeft w:val="0"/>
      <w:marRight w:val="0"/>
      <w:marTop w:val="0"/>
      <w:marBottom w:val="0"/>
      <w:divBdr>
        <w:top w:val="none" w:sz="0" w:space="0" w:color="auto"/>
        <w:left w:val="none" w:sz="0" w:space="0" w:color="auto"/>
        <w:bottom w:val="none" w:sz="0" w:space="0" w:color="auto"/>
        <w:right w:val="none" w:sz="0" w:space="0" w:color="auto"/>
      </w:divBdr>
    </w:div>
    <w:div w:id="1706715835">
      <w:bodyDiv w:val="1"/>
      <w:marLeft w:val="0"/>
      <w:marRight w:val="0"/>
      <w:marTop w:val="0"/>
      <w:marBottom w:val="0"/>
      <w:divBdr>
        <w:top w:val="none" w:sz="0" w:space="0" w:color="auto"/>
        <w:left w:val="none" w:sz="0" w:space="0" w:color="auto"/>
        <w:bottom w:val="none" w:sz="0" w:space="0" w:color="auto"/>
        <w:right w:val="none" w:sz="0" w:space="0" w:color="auto"/>
      </w:divBdr>
    </w:div>
    <w:div w:id="2115127153">
      <w:bodyDiv w:val="1"/>
      <w:marLeft w:val="0"/>
      <w:marRight w:val="0"/>
      <w:marTop w:val="0"/>
      <w:marBottom w:val="0"/>
      <w:divBdr>
        <w:top w:val="none" w:sz="0" w:space="0" w:color="auto"/>
        <w:left w:val="none" w:sz="0" w:space="0" w:color="auto"/>
        <w:bottom w:val="none" w:sz="0" w:space="0" w:color="auto"/>
        <w:right w:val="none" w:sz="0" w:space="0" w:color="auto"/>
      </w:divBdr>
      <w:divsChild>
        <w:div w:id="1962690175">
          <w:marLeft w:val="0"/>
          <w:marRight w:val="0"/>
          <w:marTop w:val="0"/>
          <w:marBottom w:val="0"/>
          <w:divBdr>
            <w:top w:val="none" w:sz="0" w:space="0" w:color="auto"/>
            <w:left w:val="none" w:sz="0" w:space="0" w:color="auto"/>
            <w:bottom w:val="none" w:sz="0" w:space="0" w:color="auto"/>
            <w:right w:val="none" w:sz="0" w:space="0" w:color="auto"/>
          </w:divBdr>
          <w:divsChild>
            <w:div w:id="278729262">
              <w:marLeft w:val="0"/>
              <w:marRight w:val="0"/>
              <w:marTop w:val="0"/>
              <w:marBottom w:val="0"/>
              <w:divBdr>
                <w:top w:val="none" w:sz="0" w:space="0" w:color="auto"/>
                <w:left w:val="none" w:sz="0" w:space="0" w:color="auto"/>
                <w:bottom w:val="none" w:sz="0" w:space="0" w:color="auto"/>
                <w:right w:val="none" w:sz="0" w:space="0" w:color="auto"/>
              </w:divBdr>
              <w:divsChild>
                <w:div w:id="412776364">
                  <w:marLeft w:val="0"/>
                  <w:marRight w:val="0"/>
                  <w:marTop w:val="0"/>
                  <w:marBottom w:val="0"/>
                  <w:divBdr>
                    <w:top w:val="none" w:sz="0" w:space="0" w:color="auto"/>
                    <w:left w:val="none" w:sz="0" w:space="0" w:color="auto"/>
                    <w:bottom w:val="none" w:sz="0" w:space="0" w:color="auto"/>
                    <w:right w:val="none" w:sz="0" w:space="0" w:color="auto"/>
                  </w:divBdr>
                  <w:divsChild>
                    <w:div w:id="437140501">
                      <w:marLeft w:val="0"/>
                      <w:marRight w:val="0"/>
                      <w:marTop w:val="0"/>
                      <w:marBottom w:val="0"/>
                      <w:divBdr>
                        <w:top w:val="none" w:sz="0" w:space="0" w:color="auto"/>
                        <w:left w:val="none" w:sz="0" w:space="0" w:color="auto"/>
                        <w:bottom w:val="none" w:sz="0" w:space="0" w:color="auto"/>
                        <w:right w:val="none" w:sz="0" w:space="0" w:color="auto"/>
                      </w:divBdr>
                      <w:divsChild>
                        <w:div w:id="5179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49450">
                  <w:marLeft w:val="0"/>
                  <w:marRight w:val="0"/>
                  <w:marTop w:val="0"/>
                  <w:marBottom w:val="0"/>
                  <w:divBdr>
                    <w:top w:val="none" w:sz="0" w:space="0" w:color="auto"/>
                    <w:left w:val="none" w:sz="0" w:space="0" w:color="auto"/>
                    <w:bottom w:val="none" w:sz="0" w:space="0" w:color="auto"/>
                    <w:right w:val="none" w:sz="0" w:space="0" w:color="auto"/>
                  </w:divBdr>
                  <w:divsChild>
                    <w:div w:id="9613030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10467680">
              <w:marLeft w:val="0"/>
              <w:marRight w:val="0"/>
              <w:marTop w:val="0"/>
              <w:marBottom w:val="0"/>
              <w:divBdr>
                <w:top w:val="none" w:sz="0" w:space="0" w:color="auto"/>
                <w:left w:val="none" w:sz="0" w:space="0" w:color="auto"/>
                <w:bottom w:val="none" w:sz="0" w:space="0" w:color="auto"/>
                <w:right w:val="none" w:sz="0" w:space="0" w:color="auto"/>
              </w:divBdr>
              <w:divsChild>
                <w:div w:id="742727739">
                  <w:marLeft w:val="0"/>
                  <w:marRight w:val="0"/>
                  <w:marTop w:val="90"/>
                  <w:marBottom w:val="0"/>
                  <w:divBdr>
                    <w:top w:val="none" w:sz="0" w:space="0" w:color="auto"/>
                    <w:left w:val="none" w:sz="0" w:space="0" w:color="auto"/>
                    <w:bottom w:val="none" w:sz="0" w:space="0" w:color="auto"/>
                    <w:right w:val="none" w:sz="0" w:space="0" w:color="auto"/>
                  </w:divBdr>
                  <w:divsChild>
                    <w:div w:id="155138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D7A65-4DC3-4BBA-BF72-C8876D64A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Bardos</dc:creator>
  <cp:keywords/>
  <dc:description/>
  <cp:lastModifiedBy>Carmen-Dana, Stojanovic</cp:lastModifiedBy>
  <cp:revision>5</cp:revision>
  <cp:lastPrinted>2025-09-18T08:46:00Z</cp:lastPrinted>
  <dcterms:created xsi:type="dcterms:W3CDTF">2025-10-03T10:02:00Z</dcterms:created>
  <dcterms:modified xsi:type="dcterms:W3CDTF">2025-10-03T10:28:00Z</dcterms:modified>
</cp:coreProperties>
</file>