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fill="A6A6A6" w:val="clear"/>
        <w:bidi w:val="0"/>
        <w:spacing w:lineRule="auto" w:line="276"/>
        <w:ind w:hanging="0" w:start="0" w:end="0"/>
        <w:jc w:val="center"/>
        <w:rPr>
          <w:rFonts w:ascii="Trebuchet MS" w:hAnsi="Trebuchet MS" w:cs="Trebuchet MS"/>
          <w:b/>
          <w:bCs/>
          <w:color w:val="FFFFFF"/>
          <w:lang w:val="ro-RO"/>
        </w:rPr>
      </w:pPr>
      <w:r>
        <w:rPr>
          <w:rFonts w:cs="Trebuchet MS" w:ascii="Trebuchet MS" w:hAnsi="Trebuchet MS"/>
          <w:b/>
          <w:bCs/>
          <w:color w:val="FFFFFF"/>
          <w:lang w:val="ro-RO"/>
        </w:rPr>
        <w:t>CLARIFICATIONS 1</w:t>
      </w:r>
    </w:p>
    <w:p>
      <w:pPr>
        <w:pStyle w:val="Normal"/>
        <w:shd w:fill="A6A6A6" w:val="clear"/>
        <w:bidi w:val="0"/>
        <w:spacing w:lineRule="auto" w:line="276"/>
        <w:ind w:hanging="0" w:start="0" w:end="0"/>
        <w:jc w:val="center"/>
        <w:rPr>
          <w:rFonts w:ascii="Trebuchet MS" w:hAnsi="Trebuchet MS" w:cs="Trebuchet MS"/>
          <w:b/>
          <w:bCs/>
          <w:color w:val="FFFFFF"/>
          <w:lang w:val="ro-RO"/>
        </w:rPr>
      </w:pPr>
      <w:r>
        <w:rPr>
          <w:rFonts w:cs="Trebuchet MS" w:ascii="Trebuchet MS" w:hAnsi="Trebuchet MS"/>
          <w:b/>
          <w:bCs/>
          <w:color w:val="FFFFFF"/>
          <w:lang w:val="ro-RO"/>
        </w:rPr>
        <w:t xml:space="preserve"> </w:t>
      </w:r>
      <w:r>
        <w:rPr>
          <w:rFonts w:cs="Trebuchet MS" w:ascii="Trebuchet MS" w:hAnsi="Trebuchet MS"/>
          <w:b/>
          <w:bCs/>
          <w:color w:val="FFFFFF"/>
          <w:lang w:val="ro-RO"/>
        </w:rPr>
        <w:t>RELATED TO TENDER PROCEDURE (QUESTIONS AND ANSWERS)</w:t>
      </w:r>
    </w:p>
    <w:p>
      <w:pPr>
        <w:pStyle w:val="Normal"/>
        <w:bidi w:val="0"/>
        <w:spacing w:lineRule="auto" w:line="276"/>
        <w:ind w:hanging="0" w:start="0" w:end="0"/>
        <w:rPr>
          <w:rFonts w:ascii="Arial" w:hAnsi="Arial" w:cs="Arial"/>
          <w:sz w:val="20"/>
          <w:szCs w:val="20"/>
        </w:rPr>
      </w:pPr>
      <w:r>
        <w:rPr>
          <w:rFonts w:cs="Arial" w:ascii="Arial" w:hAnsi="Arial"/>
          <w:sz w:val="20"/>
          <w:szCs w:val="20"/>
        </w:rPr>
      </w:r>
    </w:p>
    <w:tbl>
      <w:tblPr>
        <w:tblW w:w="9605" w:type="dxa"/>
        <w:jc w:val="start"/>
        <w:tblInd w:w="5" w:type="dxa"/>
        <w:tblLayout w:type="fixed"/>
        <w:tblCellMar>
          <w:top w:w="0" w:type="dxa"/>
          <w:start w:w="108" w:type="dxa"/>
          <w:bottom w:w="0" w:type="dxa"/>
          <w:end w:w="108" w:type="dxa"/>
        </w:tblCellMar>
      </w:tblPr>
      <w:tblGrid>
        <w:gridCol w:w="2821"/>
        <w:gridCol w:w="6784"/>
      </w:tblGrid>
      <w:tr>
        <w:trPr/>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s>
              <w:bidi w:val="0"/>
              <w:spacing w:lineRule="auto" w:line="276" w:before="0" w:after="200"/>
              <w:ind w:hanging="0" w:start="0" w:end="0"/>
              <w:rPr>
                <w:lang w:val="sr-Latn-CS"/>
              </w:rPr>
            </w:pPr>
            <w:r>
              <w:rPr>
                <w:rFonts w:cs="Arial" w:ascii="Arial" w:hAnsi="Arial"/>
                <w:b/>
                <w:i/>
                <w:sz w:val="20"/>
                <w:szCs w:val="20"/>
                <w:lang w:val="sr-Latn-CS"/>
              </w:rPr>
              <w:t>Programme</w:t>
            </w:r>
          </w:p>
        </w:tc>
        <w:tc>
          <w:tcPr>
            <w:tcW w:w="67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s>
              <w:bidi w:val="0"/>
              <w:spacing w:lineRule="auto" w:line="276" w:before="0" w:after="200"/>
              <w:ind w:hanging="0" w:start="0" w:end="0"/>
              <w:rPr>
                <w:lang w:val="sr-Latn-CS"/>
              </w:rPr>
            </w:pPr>
            <w:r>
              <w:rPr>
                <w:rFonts w:cs="Arial" w:ascii="Arial" w:hAnsi="Arial"/>
                <w:b/>
                <w:i/>
                <w:sz w:val="20"/>
                <w:szCs w:val="20"/>
                <w:lang w:val="sr-Latn-CS"/>
              </w:rPr>
              <w:t>Interreg IPA CBC Romania – Serbia Programme</w:t>
            </w:r>
          </w:p>
        </w:tc>
      </w:tr>
      <w:tr>
        <w:trPr/>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76" w:before="0" w:after="200"/>
              <w:ind w:hanging="0" w:start="0" w:end="0"/>
              <w:rPr>
                <w:lang w:val="sr-Latn-CS"/>
              </w:rPr>
            </w:pPr>
            <w:r>
              <w:rPr>
                <w:rFonts w:cs="Arial" w:ascii="Arial" w:hAnsi="Arial"/>
                <w:b/>
                <w:i/>
                <w:sz w:val="20"/>
                <w:szCs w:val="20"/>
                <w:lang w:val="sr-Latn-CS"/>
              </w:rPr>
              <w:t>Project title</w:t>
            </w:r>
          </w:p>
        </w:tc>
        <w:tc>
          <w:tcPr>
            <w:tcW w:w="678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76" w:before="0" w:after="200"/>
              <w:ind w:hanging="0" w:start="0" w:end="0"/>
              <w:rPr>
                <w:lang w:val="en-GB"/>
              </w:rPr>
            </w:pPr>
            <w:r>
              <w:rPr>
                <w:rFonts w:cs="Arial" w:ascii="Arial" w:hAnsi="Arial"/>
                <w:b/>
                <w:i/>
                <w:sz w:val="20"/>
                <w:szCs w:val="20"/>
                <w:lang w:val="en-GB"/>
              </w:rPr>
              <w:t>Promotion of eco- and health- tourism through Banat's honey route</w:t>
            </w:r>
          </w:p>
        </w:tc>
      </w:tr>
      <w:tr>
        <w:trPr/>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s>
              <w:bidi w:val="0"/>
              <w:spacing w:lineRule="auto" w:line="276" w:before="0" w:after="200"/>
              <w:ind w:hanging="0" w:start="0" w:end="0"/>
              <w:rPr>
                <w:lang w:val="sr-Latn-CS"/>
              </w:rPr>
            </w:pPr>
            <w:r>
              <w:rPr>
                <w:rFonts w:cs="Arial" w:ascii="Arial" w:hAnsi="Arial"/>
                <w:b/>
                <w:i/>
                <w:sz w:val="20"/>
                <w:szCs w:val="20"/>
                <w:lang w:val="sr-Latn-CS"/>
              </w:rPr>
              <w:t>Name of the Contracting Authority</w:t>
            </w:r>
          </w:p>
        </w:tc>
        <w:tc>
          <w:tcPr>
            <w:tcW w:w="67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s>
              <w:bidi w:val="0"/>
              <w:spacing w:lineRule="auto" w:line="276" w:before="0" w:after="200"/>
              <w:ind w:hanging="0" w:start="0" w:end="0"/>
              <w:rPr>
                <w:lang w:val="sr-Latn-CS"/>
              </w:rPr>
            </w:pPr>
            <w:r>
              <w:rPr>
                <w:rFonts w:cs="Arial" w:ascii="Arial" w:hAnsi="Arial"/>
                <w:b/>
                <w:i/>
                <w:sz w:val="20"/>
                <w:szCs w:val="20"/>
                <w:lang w:val="sr-Latn-CS"/>
              </w:rPr>
              <w:t>Regional Development Agency South Banat Ltd, Pancevo, Karadjordjeva 4, 26000 Pancevo, Serbia</w:t>
            </w:r>
          </w:p>
        </w:tc>
      </w:tr>
      <w:tr>
        <w:trPr/>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76" w:before="0" w:after="200"/>
              <w:ind w:hanging="0" w:start="0" w:end="0"/>
              <w:rPr>
                <w:lang w:val="sr-Latn-CS"/>
              </w:rPr>
            </w:pPr>
            <w:r>
              <w:rPr>
                <w:rFonts w:cs="Arial" w:ascii="Arial" w:hAnsi="Arial"/>
                <w:b/>
                <w:i/>
                <w:sz w:val="20"/>
                <w:szCs w:val="20"/>
                <w:lang w:val="sr-Latn-CS"/>
              </w:rPr>
              <w:t>Tender procedure</w:t>
            </w:r>
          </w:p>
        </w:tc>
        <w:tc>
          <w:tcPr>
            <w:tcW w:w="678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76" w:before="0" w:after="200"/>
              <w:ind w:hanging="0" w:start="0" w:end="0"/>
              <w:rPr>
                <w:lang w:val="en-GB"/>
              </w:rPr>
            </w:pPr>
            <w:r>
              <w:rPr>
                <w:rFonts w:cs="Arial" w:ascii="Arial" w:hAnsi="Arial"/>
                <w:b/>
                <w:i/>
                <w:sz w:val="20"/>
                <w:szCs w:val="20"/>
                <w:lang w:val="en-GB"/>
              </w:rPr>
              <w:t>Lab equipment, chemical and consumables for analysis of honey</w:t>
            </w:r>
          </w:p>
        </w:tc>
      </w:tr>
      <w:tr>
        <w:trPr/>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76" w:before="0" w:after="200"/>
              <w:ind w:hanging="0" w:start="0" w:end="0"/>
              <w:rPr>
                <w:lang w:val="sr-Latn-CS"/>
              </w:rPr>
            </w:pPr>
            <w:r>
              <w:rPr>
                <w:rFonts w:cs="Arial" w:ascii="Arial" w:hAnsi="Arial"/>
                <w:b/>
                <w:i/>
                <w:sz w:val="20"/>
                <w:szCs w:val="20"/>
                <w:lang w:val="sr-Latn-CS"/>
              </w:rPr>
              <w:t>Reference No</w:t>
            </w:r>
          </w:p>
        </w:tc>
        <w:tc>
          <w:tcPr>
            <w:tcW w:w="678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76" w:before="0" w:after="200"/>
              <w:ind w:hanging="0" w:start="0" w:end="0"/>
              <w:rPr>
                <w:lang w:val="en-GB"/>
              </w:rPr>
            </w:pPr>
            <w:r>
              <w:rPr>
                <w:rFonts w:cs="Arial" w:ascii="Arial" w:hAnsi="Arial"/>
                <w:b/>
                <w:i/>
                <w:sz w:val="20"/>
                <w:szCs w:val="20"/>
                <w:lang w:val="en-GB"/>
              </w:rPr>
              <w:t>RORS00240/RDASB/TD8</w:t>
            </w:r>
          </w:p>
        </w:tc>
      </w:tr>
      <w:tr>
        <w:trPr/>
        <w:tc>
          <w:tcPr>
            <w:tcW w:w="2821"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76" w:before="0" w:after="200"/>
              <w:ind w:hanging="0" w:start="0" w:end="0"/>
              <w:rPr>
                <w:lang w:val="sr-Latn-CS"/>
              </w:rPr>
            </w:pPr>
            <w:r>
              <w:rPr>
                <w:rFonts w:cs="Arial" w:ascii="Arial" w:hAnsi="Arial"/>
                <w:b/>
                <w:i/>
                <w:sz w:val="20"/>
                <w:szCs w:val="20"/>
                <w:lang w:val="sr-Latn-CS"/>
              </w:rPr>
              <w:t>Datum, Mesto / Date, Place</w:t>
            </w:r>
          </w:p>
        </w:tc>
        <w:tc>
          <w:tcPr>
            <w:tcW w:w="6784" w:type="dxa"/>
            <w:tcBorders>
              <w:top w:val="single" w:sz="4" w:space="0" w:color="000000"/>
              <w:start w:val="single" w:sz="4" w:space="0" w:color="000000"/>
              <w:bottom w:val="single" w:sz="4" w:space="0" w:color="000000"/>
              <w:end w:val="single" w:sz="4" w:space="0" w:color="000000"/>
            </w:tcBorders>
            <w:vAlign w:val="center"/>
          </w:tcPr>
          <w:p>
            <w:pPr>
              <w:pStyle w:val="Normal"/>
              <w:bidi w:val="0"/>
              <w:spacing w:lineRule="auto" w:line="276" w:before="0" w:after="200"/>
              <w:ind w:hanging="0" w:start="0" w:end="0"/>
              <w:rPr>
                <w:lang w:val="sr-Latn-CS"/>
              </w:rPr>
            </w:pPr>
            <w:r>
              <w:rPr>
                <w:rFonts w:cs="Arial" w:ascii="Arial" w:hAnsi="Arial"/>
                <w:b/>
                <w:i/>
                <w:sz w:val="20"/>
                <w:szCs w:val="20"/>
                <w:lang w:val="sr-Latn-CS"/>
              </w:rPr>
              <w:t>15.05.2026, Pancevo</w:t>
            </w:r>
          </w:p>
        </w:tc>
      </w:tr>
    </w:tbl>
    <w:p>
      <w:pPr>
        <w:pStyle w:val="Normal"/>
        <w:bidi w:val="0"/>
        <w:spacing w:lineRule="auto" w:line="276"/>
        <w:ind w:hanging="0" w:start="0" w:end="0"/>
        <w:rPr>
          <w:rFonts w:ascii="Arial" w:hAnsi="Arial" w:cs="Arial"/>
          <w:b/>
          <w:i/>
          <w:sz w:val="20"/>
          <w:szCs w:val="20"/>
          <w:lang w:val="sr-Latn-CS"/>
        </w:rPr>
      </w:pPr>
      <w:r>
        <w:rPr>
          <w:rFonts w:cs="Arial" w:ascii="Arial" w:hAnsi="Arial"/>
          <w:b/>
          <w:i/>
          <w:sz w:val="20"/>
          <w:szCs w:val="20"/>
          <w:lang w:val="sr-Latn-CS"/>
        </w:rPr>
      </w:r>
    </w:p>
    <w:tbl>
      <w:tblPr>
        <w:tblW w:w="9622" w:type="dxa"/>
        <w:jc w:val="start"/>
        <w:tblInd w:w="5" w:type="dxa"/>
        <w:tblLayout w:type="fixed"/>
        <w:tblCellMar>
          <w:top w:w="0" w:type="dxa"/>
          <w:start w:w="108" w:type="dxa"/>
          <w:bottom w:w="0" w:type="dxa"/>
          <w:end w:w="108" w:type="dxa"/>
        </w:tblCellMar>
      </w:tblPr>
      <w:tblGrid>
        <w:gridCol w:w="523"/>
        <w:gridCol w:w="4688"/>
        <w:gridCol w:w="4411"/>
      </w:tblGrid>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tabs>
                <w:tab w:val="clear" w:pos="720"/>
              </w:tabs>
              <w:bidi w:val="0"/>
              <w:spacing w:lineRule="auto" w:line="240" w:before="0" w:after="0"/>
              <w:ind w:hanging="0" w:start="0" w:end="0"/>
              <w:rPr/>
            </w:pPr>
            <w:r>
              <w:rPr>
                <w:rFonts w:cs="Arial" w:ascii="Arial" w:hAnsi="Arial"/>
                <w:sz w:val="20"/>
                <w:szCs w:val="20"/>
              </w:rPr>
              <w:t>No</w:t>
            </w:r>
          </w:p>
        </w:tc>
        <w:tc>
          <w:tcPr>
            <w:tcW w:w="4688" w:type="dxa"/>
            <w:tcBorders>
              <w:top w:val="single" w:sz="4" w:space="0" w:color="000000"/>
              <w:start w:val="single" w:sz="4" w:space="0" w:color="000000"/>
              <w:bottom w:val="single" w:sz="4" w:space="0" w:color="000000"/>
              <w:end w:val="single" w:sz="4" w:space="0" w:color="000000"/>
            </w:tcBorders>
          </w:tcPr>
          <w:p>
            <w:pPr>
              <w:pStyle w:val="Normal"/>
              <w:tabs>
                <w:tab w:val="clear" w:pos="720"/>
              </w:tabs>
              <w:bidi w:val="0"/>
              <w:spacing w:lineRule="auto" w:line="240" w:before="0" w:after="0"/>
              <w:ind w:hanging="0" w:start="0" w:end="0"/>
              <w:rPr/>
            </w:pPr>
            <w:r>
              <w:rPr>
                <w:rFonts w:cs="Arial" w:ascii="Arial" w:hAnsi="Arial"/>
                <w:sz w:val="20"/>
                <w:szCs w:val="20"/>
              </w:rPr>
              <w:t>Question</w:t>
            </w:r>
          </w:p>
        </w:tc>
        <w:tc>
          <w:tcPr>
            <w:tcW w:w="4411" w:type="dxa"/>
            <w:tcBorders>
              <w:top w:val="single" w:sz="4" w:space="0" w:color="000000"/>
              <w:start w:val="single" w:sz="4" w:space="0" w:color="000000"/>
              <w:bottom w:val="single" w:sz="4" w:space="0" w:color="000000"/>
              <w:end w:val="single" w:sz="4" w:space="0" w:color="000000"/>
            </w:tcBorders>
          </w:tcPr>
          <w:p>
            <w:pPr>
              <w:pStyle w:val="Normal"/>
              <w:tabs>
                <w:tab w:val="clear" w:pos="720"/>
              </w:tabs>
              <w:bidi w:val="0"/>
              <w:spacing w:lineRule="auto" w:line="240" w:before="0" w:after="0"/>
              <w:ind w:hanging="0" w:start="0" w:end="0"/>
              <w:rPr/>
            </w:pPr>
            <w:r>
              <w:rPr>
                <w:rFonts w:cs="Arial" w:ascii="Arial" w:hAnsi="Arial"/>
                <w:sz w:val="20"/>
                <w:szCs w:val="20"/>
              </w:rPr>
              <w:t>Answer</w:t>
            </w:r>
          </w:p>
        </w:tc>
      </w:tr>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0"/>
              <w:ind w:hanging="0" w:start="0" w:end="0"/>
              <w:rPr/>
            </w:pPr>
            <w:r>
              <w:rPr>
                <w:rFonts w:cs="Arial" w:ascii="Arial" w:hAnsi="Arial"/>
                <w:sz w:val="20"/>
                <w:szCs w:val="20"/>
              </w:rPr>
              <w:t>1</w:t>
            </w:r>
          </w:p>
        </w:tc>
        <w:tc>
          <w:tcPr>
            <w:tcW w:w="4688" w:type="dxa"/>
            <w:tcBorders>
              <w:top w:val="single" w:sz="4" w:space="0" w:color="000000"/>
              <w:start w:val="single" w:sz="4" w:space="0" w:color="000000"/>
              <w:bottom w:val="single" w:sz="4" w:space="0" w:color="000000"/>
              <w:end w:val="single" w:sz="4" w:space="0" w:color="000000"/>
            </w:tcBorders>
          </w:tcPr>
          <w:p>
            <w:pPr>
              <w:pStyle w:val="NormalWeb"/>
              <w:shd w:fill="FFFFFF" w:val="clear"/>
              <w:bidi w:val="0"/>
              <w:spacing w:lineRule="auto" w:line="240" w:before="240" w:after="240"/>
              <w:jc w:val="both"/>
              <w:rPr>
                <w:rFonts w:ascii="Arial" w:hAnsi="Arial" w:cs="Arial"/>
                <w:color w:val="1D1D1D"/>
                <w:sz w:val="20"/>
                <w:szCs w:val="20"/>
              </w:rPr>
            </w:pPr>
            <w:r>
              <w:rPr>
                <w:rFonts w:cs="Arial" w:ascii="Arial" w:hAnsi="Arial"/>
                <w:color w:val="1D1D1D"/>
                <w:sz w:val="20"/>
                <w:szCs w:val="20"/>
              </w:rPr>
              <w:t>We would like to participate in the procurement procedure under reference number RORS00240/RDASB/TD8. However, please note that we are not able to offer all of the requested equipment within our product portfolio.</w:t>
            </w:r>
          </w:p>
          <w:p>
            <w:pPr>
              <w:pStyle w:val="Normal"/>
              <w:shd w:fill="FFFFFF" w:val="clear"/>
              <w:bidi w:val="0"/>
              <w:spacing w:lineRule="auto" w:line="240" w:before="0" w:after="0"/>
              <w:ind w:hanging="0" w:start="0" w:end="0"/>
              <w:jc w:val="both"/>
              <w:rPr/>
            </w:pPr>
            <w:r>
              <w:rPr>
                <w:rFonts w:cs="Arial" w:ascii="Arial" w:hAnsi="Arial"/>
                <w:color w:val="1D1D1D"/>
                <w:sz w:val="20"/>
                <w:szCs w:val="20"/>
              </w:rPr>
              <w:t> </w:t>
            </w:r>
            <w:r>
              <w:rPr>
                <w:rFonts w:cs="Arial" w:ascii="Arial" w:hAnsi="Arial"/>
                <w:color w:val="1D1D1D"/>
                <w:sz w:val="20"/>
                <w:szCs w:val="20"/>
              </w:rPr>
              <w:t>Therefore, we kindly ask whether it would be possible to divide the tender into separate lots, so that we could submit an offer for the items available in our program.</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bidi w:val="0"/>
              <w:spacing w:lineRule="auto" w:line="240" w:before="0" w:after="0"/>
              <w:ind w:hanging="0" w:start="0" w:end="0"/>
              <w:jc w:val="both"/>
              <w:rPr/>
            </w:pPr>
            <w:r>
              <w:rPr>
                <w:rFonts w:cs="Arial" w:ascii="Arial" w:hAnsi="Arial"/>
                <w:sz w:val="20"/>
                <w:szCs w:val="20"/>
              </w:rPr>
              <w:t>This tender cannot be divided in lots. I you like to participate to this procurement procedure please consider expanding your current product portfolio or consider applying with consortium offer.</w:t>
            </w:r>
          </w:p>
        </w:tc>
      </w:tr>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0"/>
              <w:ind w:hanging="0" w:start="0" w:end="0"/>
              <w:rPr/>
            </w:pPr>
            <w:r>
              <w:rPr>
                <w:rFonts w:cs="Arial" w:ascii="Arial" w:hAnsi="Arial"/>
                <w:sz w:val="20"/>
                <w:szCs w:val="20"/>
              </w:rPr>
              <w:t>2</w:t>
            </w:r>
          </w:p>
        </w:tc>
        <w:tc>
          <w:tcPr>
            <w:tcW w:w="4688" w:type="dxa"/>
            <w:tcBorders>
              <w:top w:val="single" w:sz="4" w:space="0" w:color="000000"/>
              <w:start w:val="single" w:sz="4" w:space="0" w:color="000000"/>
              <w:bottom w:val="single" w:sz="4" w:space="0" w:color="000000"/>
              <w:end w:val="single" w:sz="4" w:space="0" w:color="000000"/>
            </w:tcBorders>
          </w:tcPr>
          <w:p>
            <w:pPr>
              <w:pStyle w:val="Default"/>
              <w:bidi w:val="0"/>
              <w:ind w:hanging="0" w:start="0" w:end="0"/>
              <w:rPr>
                <w:rFonts w:ascii="Arial" w:hAnsi="Arial" w:cs="Arial"/>
                <w:sz w:val="20"/>
                <w:szCs w:val="20"/>
              </w:rPr>
            </w:pPr>
            <w:r>
              <w:rPr>
                <w:rFonts w:cs="Arial" w:ascii="Arial" w:hAnsi="Arial"/>
                <w:sz w:val="20"/>
                <w:szCs w:val="20"/>
              </w:rPr>
            </w:r>
          </w:p>
          <w:p>
            <w:pPr>
              <w:pStyle w:val="Default"/>
              <w:bidi w:val="0"/>
              <w:ind w:hanging="0" w:start="0" w:end="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Request for Technical Specification Correction for the HPLC System: </w:t>
            </w:r>
          </w:p>
          <w:p>
            <w:pPr>
              <w:pStyle w:val="Default"/>
              <w:bidi w:val="0"/>
              <w:ind w:hanging="0" w:start="0" w:end="0"/>
              <w:rPr>
                <w:rFonts w:ascii="Arial" w:hAnsi="Arial" w:cs="Arial"/>
                <w:sz w:val="20"/>
                <w:szCs w:val="20"/>
              </w:rPr>
            </w:pPr>
            <w:r>
              <w:rPr>
                <w:rFonts w:cs="Arial" w:ascii="Arial" w:hAnsi="Arial"/>
                <w:sz w:val="20"/>
                <w:szCs w:val="20"/>
              </w:rPr>
              <w:t xml:space="preserve">Upon review of the tender documentation, the following requirement was identified: </w:t>
            </w:r>
          </w:p>
          <w:p>
            <w:pPr>
              <w:pStyle w:val="Default"/>
              <w:bidi w:val="0"/>
              <w:ind w:hanging="0" w:start="0" w:end="0"/>
              <w:rPr>
                <w:rFonts w:ascii="Arial" w:hAnsi="Arial" w:cs="Arial"/>
                <w:sz w:val="20"/>
                <w:szCs w:val="20"/>
              </w:rPr>
            </w:pPr>
            <w:r>
              <w:rPr>
                <w:rFonts w:cs="Arial" w:ascii="Arial" w:hAnsi="Arial"/>
                <w:sz w:val="20"/>
                <w:szCs w:val="20"/>
              </w:rPr>
            </w:r>
          </w:p>
          <w:p>
            <w:pPr>
              <w:pStyle w:val="Default"/>
              <w:bidi w:val="0"/>
              <w:ind w:hanging="0" w:start="0" w:end="0"/>
              <w:rPr>
                <w:rFonts w:ascii="Arial" w:hAnsi="Arial" w:cs="Arial"/>
                <w:sz w:val="20"/>
                <w:szCs w:val="20"/>
              </w:rPr>
            </w:pPr>
            <w:r>
              <w:rPr>
                <w:rFonts w:cs="Arial" w:ascii="Arial" w:hAnsi="Arial"/>
                <w:sz w:val="20"/>
                <w:szCs w:val="20"/>
              </w:rPr>
              <w:t>“</w:t>
            </w:r>
            <w:r>
              <w:rPr>
                <w:rFonts w:cs="Arial" w:ascii="Arial" w:hAnsi="Arial"/>
                <w:sz w:val="20"/>
                <w:szCs w:val="20"/>
              </w:rPr>
              <w:t xml:space="preserve">Eluent degassing Integrated into pump, 4 channels minimum.” </w:t>
            </w:r>
          </w:p>
          <w:p>
            <w:pPr>
              <w:pStyle w:val="Default"/>
              <w:bidi w:val="0"/>
              <w:ind w:hanging="0" w:start="0" w:end="0"/>
              <w:rPr>
                <w:rFonts w:ascii="Arial" w:hAnsi="Arial" w:cs="Arial"/>
                <w:sz w:val="20"/>
                <w:szCs w:val="20"/>
              </w:rPr>
            </w:pPr>
            <w:r>
              <w:rPr>
                <w:rFonts w:cs="Arial" w:ascii="Arial" w:hAnsi="Arial"/>
                <w:sz w:val="20"/>
                <w:szCs w:val="20"/>
              </w:rPr>
              <w:t xml:space="preserve">Request for amendment of the technical specification: “Eluent degassing integrated or external (stand-alone degasser) into pump, 4 channels minimum.” </w:t>
            </w:r>
          </w:p>
          <w:p>
            <w:pPr>
              <w:pStyle w:val="Default"/>
              <w:bidi w:val="0"/>
              <w:ind w:hanging="0" w:start="0" w:end="0"/>
              <w:rPr>
                <w:rFonts w:ascii="Arial" w:hAnsi="Arial" w:cs="Arial"/>
                <w:sz w:val="20"/>
                <w:szCs w:val="20"/>
              </w:rPr>
            </w:pPr>
            <w:r>
              <w:rPr>
                <w:rFonts w:cs="Arial" w:ascii="Arial" w:hAnsi="Arial"/>
                <w:sz w:val="20"/>
                <w:szCs w:val="20"/>
              </w:rPr>
              <w:t xml:space="preserve">Justification: </w:t>
            </w:r>
          </w:p>
          <w:p>
            <w:pPr>
              <w:pStyle w:val="Default"/>
              <w:bidi w:val="0"/>
              <w:ind w:hanging="0" w:start="0" w:end="0"/>
              <w:rPr>
                <w:rFonts w:ascii="Arial" w:hAnsi="Arial" w:cs="Arial"/>
                <w:sz w:val="20"/>
                <w:szCs w:val="20"/>
              </w:rPr>
            </w:pPr>
            <w:r>
              <w:rPr>
                <w:rFonts w:cs="Arial" w:ascii="Arial" w:hAnsi="Arial"/>
                <w:sz w:val="20"/>
                <w:szCs w:val="20"/>
              </w:rPr>
              <w:t xml:space="preserve">The sole purpose of a degasser is to remove dissolved gases and residual air from the mobile phase within the system. The design implementation, whether integrated or external, is strictly determined by the manufacturer according to the intended instrument design. </w:t>
            </w:r>
          </w:p>
          <w:p>
            <w:pPr>
              <w:pStyle w:val="Default"/>
              <w:bidi w:val="0"/>
              <w:ind w:hanging="0" w:start="0" w:end="0"/>
              <w:rPr>
                <w:rFonts w:ascii="Arial" w:hAnsi="Arial" w:cs="Arial"/>
                <w:sz w:val="20"/>
                <w:szCs w:val="20"/>
              </w:rPr>
            </w:pPr>
            <w:r>
              <w:rPr>
                <w:rFonts w:cs="Arial" w:ascii="Arial" w:hAnsi="Arial"/>
                <w:sz w:val="20"/>
                <w:szCs w:val="20"/>
              </w:rPr>
              <w:t xml:space="preserve">The only practical difference between an external and an integrated degasser is related to the physical dimensions of the system. In the case of external degassers, the total height of the instrument may increase by up to approximately 10 cm if the degasser is mounted on top of the system, whereas systems with integrated degassers may have a greater width due to the manufacturer’s design solution. </w:t>
            </w:r>
          </w:p>
          <w:p>
            <w:pPr>
              <w:pStyle w:val="Default"/>
              <w:bidi w:val="0"/>
              <w:ind w:hanging="0" w:start="0" w:end="0"/>
              <w:rPr>
                <w:rFonts w:ascii="Arial" w:hAnsi="Arial" w:cs="Arial"/>
                <w:sz w:val="20"/>
                <w:szCs w:val="20"/>
              </w:rPr>
            </w:pPr>
            <w:r>
              <w:rPr>
                <w:rFonts w:cs="Arial" w:ascii="Arial" w:hAnsi="Arial"/>
                <w:sz w:val="20"/>
                <w:szCs w:val="20"/>
              </w:rPr>
              <w:t xml:space="preserve">Therefore, there are no functional advantages or disadvantages between these two degasser configurations, nor do they affect the quality or performance of the instrument in any way. By introducing the proposed amendment, the Contracting Authority would enable participation of a larger number of bidders and increase competitiveness within the public procurement procedure, without compromising the required quality and functionality of the equipment. </w:t>
            </w:r>
          </w:p>
          <w:p>
            <w:pPr>
              <w:pStyle w:val="Normal"/>
              <w:bidi w:val="0"/>
              <w:spacing w:lineRule="auto" w:line="240" w:before="0" w:after="0"/>
              <w:ind w:hanging="0" w:start="0" w:end="0"/>
              <w:jc w:val="both"/>
              <w:rPr/>
            </w:pPr>
            <w:r>
              <w:rPr>
                <w:rFonts w:cs="Arial" w:ascii="Arial" w:hAnsi="Arial"/>
                <w:sz w:val="20"/>
                <w:szCs w:val="20"/>
              </w:rPr>
              <w:t>Thank you in advance for considering our proposal.</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Contracting Authority remains with the requirements defined in the tender documentation. The requirement “Eluent degassing – integrated into the pump, minimum 4 channels” remains unchanged. An integrated degasser contributes to system compactness, reduction of additional connections and capillaries, as well as increased system reliability during routine operation.</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pPr>
            <w:r>
              <w:rPr>
                <w:rFonts w:cs="Arial" w:ascii="Arial" w:hAnsi="Arial"/>
                <w:sz w:val="20"/>
                <w:szCs w:val="20"/>
              </w:rPr>
              <w:t>Considering that the requested parameters are in accordance with the objective needs of the Contracting Authority, and that market research has established that multiple manufacturers can offer a system with the requested or better parameters, the Contracting Authority remains with the requirements defined in the tender documentation.</w:t>
            </w:r>
          </w:p>
        </w:tc>
      </w:tr>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0"/>
              <w:ind w:hanging="0" w:start="0" w:end="0"/>
              <w:rPr/>
            </w:pPr>
            <w:r>
              <w:rPr>
                <w:rFonts w:cs="Arial" w:ascii="Arial" w:hAnsi="Arial"/>
                <w:sz w:val="20"/>
                <w:szCs w:val="20"/>
              </w:rPr>
              <w:t>3</w:t>
            </w:r>
          </w:p>
        </w:tc>
        <w:tc>
          <w:tcPr>
            <w:tcW w:w="4688" w:type="dxa"/>
            <w:tcBorders>
              <w:top w:val="single" w:sz="4" w:space="0" w:color="000000"/>
              <w:start w:val="single" w:sz="4" w:space="0" w:color="000000"/>
              <w:bottom w:val="single" w:sz="4" w:space="0" w:color="000000"/>
              <w:end w:val="single" w:sz="4" w:space="0" w:color="000000"/>
            </w:tcBorders>
          </w:tcPr>
          <w:p>
            <w:pPr>
              <w:pStyle w:val="Default"/>
              <w:bidi w:val="0"/>
              <w:ind w:hanging="0" w:start="0" w:end="0"/>
              <w:rPr>
                <w:rFonts w:ascii="Arial" w:hAnsi="Arial" w:cs="Arial"/>
                <w:sz w:val="20"/>
                <w:szCs w:val="20"/>
              </w:rPr>
            </w:pPr>
            <w:r>
              <w:rPr>
                <w:rFonts w:cs="Arial" w:ascii="Arial" w:hAnsi="Arial"/>
                <w:sz w:val="20"/>
                <w:szCs w:val="20"/>
              </w:rPr>
            </w:r>
          </w:p>
          <w:p>
            <w:pPr>
              <w:pStyle w:val="Default"/>
              <w:bidi w:val="0"/>
              <w:ind w:hanging="0" w:start="0" w:end="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Upon review of the tender documentation, the following requirement was identified: </w:t>
            </w:r>
          </w:p>
          <w:p>
            <w:pPr>
              <w:pStyle w:val="Default"/>
              <w:bidi w:val="0"/>
              <w:ind w:hanging="0" w:start="0" w:end="0"/>
              <w:rPr>
                <w:rFonts w:ascii="Arial" w:hAnsi="Arial" w:cs="Arial"/>
                <w:sz w:val="20"/>
                <w:szCs w:val="20"/>
              </w:rPr>
            </w:pPr>
            <w:r>
              <w:rPr>
                <w:rFonts w:cs="Arial" w:ascii="Arial" w:hAnsi="Arial"/>
                <w:sz w:val="20"/>
                <w:szCs w:val="20"/>
              </w:rPr>
              <w:t>“</w:t>
            </w:r>
            <w:r>
              <w:rPr>
                <w:rFonts w:cs="Arial" w:ascii="Arial" w:hAnsi="Arial"/>
                <w:sz w:val="20"/>
                <w:szCs w:val="20"/>
              </w:rPr>
              <w:t xml:space="preserve">Pump pressure range 2 – 60 MPa (20 – 600 bar or higher) for the entire flow range of 0.001–5 mL/min.” </w:t>
            </w:r>
          </w:p>
          <w:p>
            <w:pPr>
              <w:pStyle w:val="Default"/>
              <w:bidi w:val="0"/>
              <w:ind w:hanging="0" w:start="0" w:end="0"/>
              <w:rPr>
                <w:rFonts w:ascii="Arial" w:hAnsi="Arial" w:cs="Arial"/>
                <w:sz w:val="20"/>
                <w:szCs w:val="20"/>
              </w:rPr>
            </w:pPr>
            <w:r>
              <w:rPr>
                <w:rFonts w:cs="Arial" w:ascii="Arial" w:hAnsi="Arial"/>
                <w:sz w:val="20"/>
                <w:szCs w:val="20"/>
              </w:rPr>
              <w:t xml:space="preserve">Request for amendment of the technical specification. </w:t>
            </w:r>
          </w:p>
          <w:p>
            <w:pPr>
              <w:pStyle w:val="Default"/>
              <w:bidi w:val="0"/>
              <w:ind w:hanging="0" w:start="0" w:end="0"/>
              <w:rPr>
                <w:rFonts w:ascii="Arial" w:hAnsi="Arial" w:cs="Arial"/>
                <w:sz w:val="20"/>
                <w:szCs w:val="20"/>
              </w:rPr>
            </w:pPr>
            <w:r>
              <w:rPr>
                <w:rFonts w:cs="Arial" w:ascii="Arial" w:hAnsi="Arial"/>
                <w:sz w:val="20"/>
                <w:szCs w:val="20"/>
              </w:rPr>
              <w:t xml:space="preserve">Proposed amendment: “Pump pressure range 2 – 60 MPa (20 – 600 bar or higher).” </w:t>
            </w:r>
          </w:p>
          <w:p>
            <w:pPr>
              <w:pStyle w:val="Normal"/>
              <w:bidi w:val="0"/>
              <w:spacing w:lineRule="auto" w:line="240" w:before="0" w:after="0"/>
              <w:ind w:hanging="0" w:start="0" w:end="0"/>
              <w:rPr>
                <w:rFonts w:ascii="Arial" w:hAnsi="Arial" w:cs="Arial"/>
                <w:sz w:val="20"/>
                <w:szCs w:val="20"/>
              </w:rPr>
            </w:pPr>
            <w:r>
              <w:rPr>
                <w:rFonts w:cs="Arial" w:ascii="Arial" w:hAnsi="Arial"/>
                <w:sz w:val="20"/>
                <w:szCs w:val="20"/>
              </w:rPr>
              <w:t>Justification:</w:t>
            </w:r>
          </w:p>
          <w:p>
            <w:pPr>
              <w:pStyle w:val="Default"/>
              <w:bidi w:val="0"/>
              <w:ind w:hanging="0" w:start="0" w:end="0"/>
              <w:rPr>
                <w:rFonts w:ascii="Arial" w:hAnsi="Arial" w:cs="Arial"/>
                <w:sz w:val="20"/>
                <w:szCs w:val="20"/>
              </w:rPr>
            </w:pPr>
            <w:r>
              <w:rPr>
                <w:rFonts w:cs="Arial" w:ascii="Arial" w:hAnsi="Arial"/>
                <w:sz w:val="20"/>
                <w:szCs w:val="20"/>
              </w:rPr>
              <w:t xml:space="preserve">In practical chromatographic applications, including standard analytical, ISO, SRPS, EPA, as well as manufacturer-developed methods, there is no actual need for the system to operate at the maximum flow rate of 5 mL/min under maximum pressure conditions. Practically all standard methods are performed at flow rates up to 2 mL/min, where all requirements for standard HPLC/UHPLC analyses are fully satisfied. </w:t>
            </w:r>
          </w:p>
          <w:p>
            <w:pPr>
              <w:pStyle w:val="Default"/>
              <w:bidi w:val="0"/>
              <w:ind w:hanging="0" w:start="0" w:end="0"/>
              <w:rPr>
                <w:rFonts w:ascii="Arial" w:hAnsi="Arial" w:cs="Arial"/>
                <w:sz w:val="20"/>
                <w:szCs w:val="20"/>
              </w:rPr>
            </w:pPr>
            <w:r>
              <w:rPr>
                <w:rFonts w:cs="Arial" w:ascii="Arial" w:hAnsi="Arial"/>
                <w:sz w:val="20"/>
                <w:szCs w:val="20"/>
              </w:rPr>
              <w:t xml:space="preserve">Requiring the system to maintain maximum pressure throughout the entire flow range up to 5 mL/min does not provide additional practical or analytical benefits for the intended application of the instrument. Such a requirement unnecessarily limits the number of acceptable systems available on the market and may lead to favoring a particular manufacturer or bidder, without justified technical benefit for the end user. </w:t>
            </w:r>
          </w:p>
          <w:p>
            <w:pPr>
              <w:pStyle w:val="Default"/>
              <w:bidi w:val="0"/>
              <w:ind w:hanging="0" w:start="0" w:end="0"/>
              <w:rPr/>
            </w:pPr>
            <w:r>
              <w:rPr>
                <w:rFonts w:cs="Arial" w:ascii="Arial" w:hAnsi="Arial"/>
                <w:sz w:val="20"/>
                <w:szCs w:val="20"/>
              </w:rPr>
              <w:t xml:space="preserve">Taking into consideration the actual needs of laboratory and analytical practice, we kindly propose that the technical specification be defined in a manner that enables broader competition among bidders while fully preserving the required quality and performance of the system. </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Contracting Authority remains with the requirements defined in the tender documentation. The requirement for maintaining maximum pressure across the complete required flow range has been established in order to ensure maximum system flexibility, compatibility with existing methods, as well as the possibility for future development and implementation of new analytical methods and research applications, without limiting system functionality.</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Furthermore, by conducting market research in the manner prescribed by the Law on Public Procurement, the Contracting Authority has established that the requested parameter does not refer to the specification of only one manufacturer, but that multiple manufacturers offer systems that meet this requirement.</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pPr>
            <w:r>
              <w:rPr>
                <w:rFonts w:cs="Arial" w:ascii="Arial" w:hAnsi="Arial"/>
                <w:sz w:val="20"/>
                <w:szCs w:val="20"/>
              </w:rPr>
              <w:t>Considering that the requested parameters are in accordance with the objective needs of the Contracting Authority, the Contracting Authority remains with the requirements defined in the tender documentation.</w:t>
            </w:r>
          </w:p>
        </w:tc>
      </w:tr>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0"/>
              <w:ind w:hanging="0" w:start="0" w:end="0"/>
              <w:rPr/>
            </w:pPr>
            <w:r>
              <w:rPr>
                <w:rFonts w:cs="Arial" w:ascii="Arial" w:hAnsi="Arial"/>
                <w:sz w:val="20"/>
                <w:szCs w:val="20"/>
              </w:rPr>
              <w:t>4</w:t>
            </w:r>
          </w:p>
        </w:tc>
        <w:tc>
          <w:tcPr>
            <w:tcW w:w="4688" w:type="dxa"/>
            <w:tcBorders>
              <w:top w:val="single" w:sz="4" w:space="0" w:color="000000"/>
              <w:start w:val="single" w:sz="4" w:space="0" w:color="000000"/>
              <w:bottom w:val="single" w:sz="4" w:space="0" w:color="000000"/>
              <w:end w:val="single" w:sz="4" w:space="0" w:color="000000"/>
            </w:tcBorders>
          </w:tcPr>
          <w:p>
            <w:pPr>
              <w:pStyle w:val="Default"/>
              <w:bidi w:val="0"/>
              <w:ind w:hanging="0" w:start="0" w:end="0"/>
              <w:rPr>
                <w:rFonts w:ascii="Arial" w:hAnsi="Arial" w:cs="Arial"/>
                <w:sz w:val="20"/>
                <w:szCs w:val="20"/>
              </w:rPr>
            </w:pPr>
            <w:r>
              <w:rPr>
                <w:rFonts w:cs="Arial" w:ascii="Arial" w:hAnsi="Arial"/>
                <w:sz w:val="20"/>
                <w:szCs w:val="20"/>
              </w:rPr>
            </w:r>
          </w:p>
          <w:p>
            <w:pPr>
              <w:pStyle w:val="Default"/>
              <w:bidi w:val="0"/>
              <w:ind w:hanging="0" w:start="0" w:end="0"/>
              <w:rPr>
                <w:rFonts w:ascii="Arial" w:hAnsi="Arial" w:cs="Arial"/>
                <w:sz w:val="20"/>
                <w:szCs w:val="20"/>
              </w:rPr>
            </w:pPr>
            <w:r>
              <w:rPr>
                <w:rFonts w:cs="Arial" w:ascii="Arial" w:hAnsi="Arial"/>
                <w:sz w:val="20"/>
                <w:szCs w:val="20"/>
              </w:rPr>
              <w:t xml:space="preserve">Upon review of the tender documentation, the following requirement was identified: </w:t>
            </w:r>
          </w:p>
          <w:p>
            <w:pPr>
              <w:pStyle w:val="Default"/>
              <w:bidi w:val="0"/>
              <w:ind w:hanging="0" w:start="0" w:end="0"/>
              <w:rPr>
                <w:rFonts w:ascii="Arial" w:hAnsi="Arial" w:cs="Arial"/>
                <w:sz w:val="20"/>
                <w:szCs w:val="20"/>
              </w:rPr>
            </w:pPr>
            <w:r>
              <w:rPr>
                <w:rFonts w:cs="Arial" w:ascii="Arial" w:hAnsi="Arial"/>
                <w:sz w:val="20"/>
                <w:szCs w:val="20"/>
              </w:rPr>
              <w:t>“</w:t>
            </w:r>
            <w:r>
              <w:rPr>
                <w:rFonts w:cs="Arial" w:ascii="Arial" w:hAnsi="Arial"/>
                <w:sz w:val="20"/>
                <w:szCs w:val="20"/>
              </w:rPr>
              <w:t xml:space="preserve">Pressure pulsation &lt;1% or &lt;5 bar or better.” </w:t>
            </w:r>
          </w:p>
          <w:p>
            <w:pPr>
              <w:pStyle w:val="Default"/>
              <w:bidi w:val="0"/>
              <w:ind w:hanging="0" w:start="0" w:end="0"/>
              <w:rPr>
                <w:rFonts w:ascii="Arial" w:hAnsi="Arial" w:cs="Arial"/>
                <w:sz w:val="20"/>
                <w:szCs w:val="20"/>
              </w:rPr>
            </w:pPr>
            <w:r>
              <w:rPr>
                <w:rFonts w:cs="Arial" w:ascii="Arial" w:hAnsi="Arial"/>
                <w:sz w:val="20"/>
                <w:szCs w:val="20"/>
              </w:rPr>
              <w:t xml:space="preserve">Request for clarification/amendment of the technical specification. </w:t>
            </w:r>
          </w:p>
          <w:p>
            <w:pPr>
              <w:pStyle w:val="Default"/>
              <w:bidi w:val="0"/>
              <w:ind w:hanging="0" w:start="0" w:end="0"/>
              <w:rPr>
                <w:rFonts w:ascii="Arial" w:hAnsi="Arial" w:cs="Arial"/>
                <w:sz w:val="20"/>
                <w:szCs w:val="20"/>
              </w:rPr>
            </w:pPr>
            <w:r>
              <w:rPr>
                <w:rFonts w:cs="Arial" w:ascii="Arial" w:hAnsi="Arial"/>
                <w:sz w:val="20"/>
                <w:szCs w:val="20"/>
              </w:rPr>
              <w:t xml:space="preserve">Proposed amendment: “Pressure pulsation &lt;1.2% or &lt;5 bar or better.” </w:t>
            </w:r>
          </w:p>
          <w:p>
            <w:pPr>
              <w:pStyle w:val="Default"/>
              <w:bidi w:val="0"/>
              <w:ind w:hanging="0" w:start="0" w:end="0"/>
              <w:rPr>
                <w:rFonts w:ascii="Arial" w:hAnsi="Arial" w:cs="Arial"/>
                <w:sz w:val="20"/>
                <w:szCs w:val="20"/>
              </w:rPr>
            </w:pPr>
            <w:r>
              <w:rPr>
                <w:rFonts w:cs="Arial" w:ascii="Arial" w:hAnsi="Arial"/>
                <w:sz w:val="20"/>
                <w:szCs w:val="20"/>
              </w:rPr>
              <w:t xml:space="preserve">Justification: </w:t>
            </w:r>
          </w:p>
          <w:p>
            <w:pPr>
              <w:pStyle w:val="Default"/>
              <w:bidi w:val="0"/>
              <w:ind w:hanging="0" w:start="0" w:end="0"/>
              <w:rPr>
                <w:rFonts w:ascii="Arial" w:hAnsi="Arial" w:cs="Arial"/>
                <w:sz w:val="20"/>
                <w:szCs w:val="20"/>
              </w:rPr>
            </w:pPr>
            <w:r>
              <w:rPr>
                <w:rFonts w:cs="Arial" w:ascii="Arial" w:hAnsi="Arial"/>
                <w:sz w:val="20"/>
                <w:szCs w:val="20"/>
              </w:rPr>
              <w:t xml:space="preserve">The required value of pressure pulsation is a technical parameter dependent on the pump design and in practice varies among manufacturers. The difference between 1% and 1.2% does not have any measurable or significant impact on the quality, accuracy, or repeatability of results in standard HPLC/UHPLC applications. </w:t>
            </w:r>
          </w:p>
          <w:p>
            <w:pPr>
              <w:pStyle w:val="Default"/>
              <w:bidi w:val="0"/>
              <w:ind w:hanging="0" w:start="0" w:end="0"/>
              <w:rPr>
                <w:rFonts w:ascii="Arial" w:hAnsi="Arial" w:cs="Arial"/>
                <w:sz w:val="20"/>
                <w:szCs w:val="20"/>
              </w:rPr>
            </w:pPr>
            <w:r>
              <w:rPr>
                <w:rFonts w:cs="Arial" w:ascii="Arial" w:hAnsi="Arial"/>
                <w:sz w:val="20"/>
                <w:szCs w:val="20"/>
              </w:rPr>
              <w:t xml:space="preserve">In routine analyses, including ISO methods, such a minor difference in specification does not provide any functional advantage for the end user. </w:t>
            </w:r>
          </w:p>
          <w:p>
            <w:pPr>
              <w:pStyle w:val="Normal"/>
              <w:shd w:fill="FFFFFF" w:val="clear"/>
              <w:bidi w:val="0"/>
              <w:spacing w:lineRule="auto" w:line="240" w:before="0" w:after="0"/>
              <w:ind w:hanging="0" w:start="0" w:end="0"/>
              <w:jc w:val="both"/>
              <w:rPr/>
            </w:pPr>
            <w:r>
              <w:rPr>
                <w:rFonts w:cs="Arial" w:ascii="Arial" w:hAnsi="Arial"/>
                <w:sz w:val="20"/>
                <w:szCs w:val="20"/>
              </w:rPr>
              <w:t>Furthermore, insisting on a stricter criterion in practice leads to a situation where only one bidder is often favored, thereby significantly reducing competition in the public procurement procedure. It is important to emphasize that the proposed amendment does not exclude any bidder; on the contrary, it broadens the pool of potential bidders, enables greater market competition, and consequently contributes to achieving a more favorable price for the Contracting Authority, while fully preserving the required technical performance and quality of the equipment.</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Contracting Authority remains with the requirements defined in the tender documentation. Maintaining maximum pressure across the complete required flow range enables greater system flexibility and compatibility with a wide spectrum of HPLC/UHPLC methods, different column types and various analytical approaches.</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stated requirement has not been defined exclusively for current routine methods, but rather represents a general technical requirement ensuring broader applicability of the system, compatibility with existing and future methods, as well as greater flexibility in the development, optimization and validation of new analytical methods and research applications.</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Furthermore, the required range enables the use of different column types and methods that may require higher flow rates, including fast gradient methods, system flushing and conditioning, as well as other applications that may be subject to future analyses and research activities.</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technical specifications do not refer to a specific brand, source, process, trademark, patent, type, origin or production, nor do they result in giving preference to or eliminating certain economic operators.</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Furthermore, by conducting market research in the manner prescribed by the Law on Public Procurement, the Contracting Authority has established that there are multiple manufacturers whose systems meet the required technical characteristics, and that the stated requirement is not tailored exclusively to a single manufacturer.</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pPr>
            <w:r>
              <w:rPr>
                <w:rFonts w:cs="Arial" w:ascii="Arial" w:hAnsi="Arial"/>
                <w:sz w:val="20"/>
                <w:szCs w:val="20"/>
              </w:rPr>
              <w:t>Considering the above, the Contracting Authority considers the requirement justified and remains with the defined technical requirement from the tender documentation.</w:t>
            </w:r>
          </w:p>
        </w:tc>
      </w:tr>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0"/>
              <w:ind w:hanging="0" w:start="0" w:end="0"/>
              <w:rPr/>
            </w:pPr>
            <w:r>
              <w:rPr>
                <w:rFonts w:cs="Arial" w:ascii="Arial" w:hAnsi="Arial"/>
                <w:sz w:val="20"/>
                <w:szCs w:val="20"/>
              </w:rPr>
              <w:t>5</w:t>
            </w:r>
          </w:p>
        </w:tc>
        <w:tc>
          <w:tcPr>
            <w:tcW w:w="4688" w:type="dxa"/>
            <w:tcBorders>
              <w:top w:val="single" w:sz="4" w:space="0" w:color="000000"/>
              <w:start w:val="single" w:sz="4" w:space="0" w:color="000000"/>
              <w:bottom w:val="single" w:sz="4" w:space="0" w:color="000000"/>
              <w:end w:val="single" w:sz="4" w:space="0" w:color="000000"/>
            </w:tcBorders>
          </w:tcPr>
          <w:p>
            <w:pPr>
              <w:pStyle w:val="Default"/>
              <w:bidi w:val="0"/>
              <w:ind w:hanging="0" w:start="0" w:end="0"/>
              <w:rPr>
                <w:rFonts w:ascii="Arial" w:hAnsi="Arial" w:cs="Arial"/>
                <w:sz w:val="20"/>
                <w:szCs w:val="20"/>
              </w:rPr>
            </w:pPr>
            <w:r>
              <w:rPr>
                <w:rFonts w:cs="Arial" w:ascii="Arial" w:hAnsi="Arial"/>
                <w:sz w:val="20"/>
                <w:szCs w:val="20"/>
              </w:rPr>
            </w:r>
          </w:p>
          <w:p>
            <w:pPr>
              <w:pStyle w:val="Default"/>
              <w:bidi w:val="0"/>
              <w:ind w:hanging="0" w:start="0" w:end="0"/>
              <w:rPr>
                <w:rFonts w:ascii="Arial" w:hAnsi="Arial" w:cs="Arial"/>
                <w:sz w:val="20"/>
                <w:szCs w:val="20"/>
              </w:rPr>
            </w:pPr>
            <w:r>
              <w:rPr>
                <w:rFonts w:cs="Arial" w:ascii="Arial" w:hAnsi="Arial"/>
                <w:sz w:val="20"/>
                <w:szCs w:val="20"/>
              </w:rPr>
              <w:t xml:space="preserve">Upon review of the tender documentation, the following requirement was identified: </w:t>
            </w:r>
          </w:p>
          <w:p>
            <w:pPr>
              <w:pStyle w:val="Default"/>
              <w:bidi w:val="0"/>
              <w:ind w:hanging="0" w:start="0" w:end="0"/>
              <w:rPr>
                <w:rFonts w:ascii="Arial" w:hAnsi="Arial" w:cs="Arial"/>
                <w:sz w:val="20"/>
                <w:szCs w:val="20"/>
              </w:rPr>
            </w:pPr>
            <w:r>
              <w:rPr>
                <w:rFonts w:cs="Arial" w:ascii="Arial" w:hAnsi="Arial"/>
                <w:sz w:val="20"/>
                <w:szCs w:val="20"/>
              </w:rPr>
              <w:t>“</w:t>
            </w:r>
            <w:r>
              <w:rPr>
                <w:rFonts w:cs="Arial" w:ascii="Arial" w:hAnsi="Arial"/>
                <w:sz w:val="20"/>
                <w:szCs w:val="20"/>
              </w:rPr>
              <w:t xml:space="preserve">Linear range &lt;5.0% RSD at 600 μRIU or better.” </w:t>
            </w:r>
          </w:p>
          <w:p>
            <w:pPr>
              <w:pStyle w:val="Default"/>
              <w:bidi w:val="0"/>
              <w:ind w:hanging="0" w:start="0" w:end="0"/>
              <w:rPr>
                <w:rFonts w:ascii="Arial" w:hAnsi="Arial" w:cs="Arial"/>
                <w:sz w:val="20"/>
                <w:szCs w:val="20"/>
              </w:rPr>
            </w:pPr>
            <w:r>
              <w:rPr>
                <w:rFonts w:cs="Arial" w:ascii="Arial" w:hAnsi="Arial"/>
                <w:sz w:val="20"/>
                <w:szCs w:val="20"/>
              </w:rPr>
              <w:t xml:space="preserve">Request for clarification/amendment of the technical specification. </w:t>
            </w:r>
          </w:p>
          <w:p>
            <w:pPr>
              <w:pStyle w:val="Default"/>
              <w:bidi w:val="0"/>
              <w:ind w:hanging="0" w:start="0" w:end="0"/>
              <w:rPr>
                <w:rFonts w:ascii="Arial" w:hAnsi="Arial" w:cs="Arial"/>
                <w:sz w:val="20"/>
                <w:szCs w:val="20"/>
              </w:rPr>
            </w:pPr>
            <w:r>
              <w:rPr>
                <w:rFonts w:cs="Arial" w:ascii="Arial" w:hAnsi="Arial"/>
                <w:sz w:val="20"/>
                <w:szCs w:val="20"/>
              </w:rPr>
              <w:t xml:space="preserve">Proposed amendment: “Linearity &lt;5.0% RSD at 600 μRIU or 500 μRIU or better.” </w:t>
            </w:r>
          </w:p>
          <w:p>
            <w:pPr>
              <w:pStyle w:val="Default"/>
              <w:bidi w:val="0"/>
              <w:ind w:hanging="0" w:start="0" w:end="0"/>
              <w:rPr>
                <w:rFonts w:ascii="Arial" w:hAnsi="Arial" w:cs="Arial"/>
                <w:sz w:val="20"/>
                <w:szCs w:val="20"/>
              </w:rPr>
            </w:pPr>
            <w:r>
              <w:rPr>
                <w:rFonts w:cs="Arial" w:ascii="Arial" w:hAnsi="Arial"/>
                <w:sz w:val="20"/>
                <w:szCs w:val="20"/>
              </w:rPr>
              <w:t xml:space="preserve">Justification: </w:t>
            </w:r>
          </w:p>
          <w:p>
            <w:pPr>
              <w:pStyle w:val="Default"/>
              <w:bidi w:val="0"/>
              <w:ind w:hanging="0" w:start="0" w:end="0"/>
              <w:rPr>
                <w:rFonts w:ascii="Arial" w:hAnsi="Arial" w:cs="Arial"/>
                <w:sz w:val="20"/>
                <w:szCs w:val="20"/>
              </w:rPr>
            </w:pPr>
            <w:r>
              <w:rPr>
                <w:rFonts w:cs="Arial" w:ascii="Arial" w:hAnsi="Arial"/>
                <w:sz w:val="20"/>
                <w:szCs w:val="20"/>
              </w:rPr>
              <w:t xml:space="preserve">The defined requirement for RID detector linearity represents a technical parameter that depends on detector construction, signal stability, and measurement conditions. In practical chromatographic applications, a small difference in the reference signal (600 μRIU versus 500 μRIU) does not have a significant impact on analytical performance, accuracy, or detection reliability. </w:t>
            </w:r>
          </w:p>
          <w:p>
            <w:pPr>
              <w:pStyle w:val="Default"/>
              <w:bidi w:val="0"/>
              <w:ind w:hanging="0" w:start="0" w:end="0"/>
              <w:rPr>
                <w:rFonts w:ascii="Arial" w:hAnsi="Arial" w:cs="Arial"/>
                <w:sz w:val="20"/>
                <w:szCs w:val="20"/>
              </w:rPr>
            </w:pPr>
            <w:r>
              <w:rPr>
                <w:rFonts w:cs="Arial" w:ascii="Arial" w:hAnsi="Arial"/>
                <w:sz w:val="20"/>
                <w:szCs w:val="20"/>
              </w:rPr>
              <w:t xml:space="preserve">The difference between 600 μRIU and 500 μRIU is exactly 100 μRIU, which represents a relative difference of approximately 0.000001 RIU. This difference refers exclusively to the reference signal level at which linearity is tested. </w:t>
            </w:r>
          </w:p>
          <w:p>
            <w:pPr>
              <w:pStyle w:val="Default"/>
              <w:bidi w:val="0"/>
              <w:ind w:hanging="0" w:start="0" w:end="0"/>
              <w:rPr>
                <w:rFonts w:ascii="Arial" w:hAnsi="Arial" w:cs="Arial"/>
                <w:sz w:val="20"/>
                <w:szCs w:val="20"/>
              </w:rPr>
            </w:pPr>
            <w:r>
              <w:rPr>
                <w:rFonts w:cs="Arial" w:ascii="Arial" w:hAnsi="Arial"/>
                <w:sz w:val="20"/>
                <w:szCs w:val="20"/>
              </w:rPr>
              <w:t xml:space="preserve">Allowing an alternative value of 500 μRIU ensures broader compatibility with systems available on the market, considering that different manufacturers define linearity performance at different reference signal levels. </w:t>
            </w:r>
          </w:p>
          <w:p>
            <w:pPr>
              <w:pStyle w:val="Default"/>
              <w:bidi w:val="0"/>
              <w:ind w:hanging="0" w:start="0" w:end="0"/>
              <w:rPr>
                <w:rFonts w:ascii="Arial" w:hAnsi="Arial" w:cs="Arial"/>
                <w:sz w:val="20"/>
                <w:szCs w:val="20"/>
              </w:rPr>
            </w:pPr>
            <w:r>
              <w:rPr>
                <w:rFonts w:cs="Arial" w:ascii="Arial" w:hAnsi="Arial"/>
                <w:sz w:val="20"/>
                <w:szCs w:val="20"/>
              </w:rPr>
              <w:t xml:space="preserve">The proposed amendment does not reduce the required detector performance level, but instead ensures fair competition and prevents unnecessary restriction of potential bidders. At the same time, all key analytical requirements for routine and validated HPLC/RID applications are fully maintained. </w:t>
            </w:r>
          </w:p>
          <w:p>
            <w:pPr>
              <w:pStyle w:val="Normal"/>
              <w:bidi w:val="0"/>
              <w:spacing w:lineRule="auto" w:line="240" w:before="0" w:after="0"/>
              <w:ind w:hanging="0" w:start="0" w:end="0"/>
              <w:jc w:val="both"/>
              <w:rPr/>
            </w:pPr>
            <w:r>
              <w:rPr>
                <w:rFonts w:cs="Arial" w:ascii="Arial" w:hAnsi="Arial"/>
                <w:sz w:val="20"/>
                <w:szCs w:val="20"/>
              </w:rPr>
              <w:t>It is important to emphasize that this amendment does not eliminate any technically compliant system, but rather increases competition among bidders, which may lead to more favorable pricing conditions for the Contracting Authority, while fully preserving the required quality and performance of the equipment.</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Contracting Authority remains with the requirements defined in the tender documentation.</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Contracting Authority notes that manufacturers of refractive index detectors most commonly do not express linearity through an identical percentage value, but rather through the declared measurement range expressed in μRIU/RIU units and other detector performance characteristics.</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pPr>
            <w:r>
              <w:rPr>
                <w:rFonts w:cs="Arial" w:ascii="Arial" w:hAnsi="Arial"/>
                <w:sz w:val="20"/>
                <w:szCs w:val="20"/>
              </w:rPr>
              <w:t>For this reason, a refractive index detector with declared linearity of “&lt;5.0% RSD at 500 μRIU” will also be accepted as compliant, provided that the offered system meets the remaining required technical and performance characteristics defined in the tender documentation.</w:t>
            </w:r>
          </w:p>
        </w:tc>
      </w:tr>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0"/>
              <w:ind w:hanging="0" w:start="0" w:end="0"/>
              <w:rPr/>
            </w:pPr>
            <w:r>
              <w:rPr>
                <w:rFonts w:cs="Arial" w:ascii="Arial" w:hAnsi="Arial"/>
                <w:sz w:val="20"/>
                <w:szCs w:val="20"/>
              </w:rPr>
              <w:t>6</w:t>
            </w:r>
          </w:p>
        </w:tc>
        <w:tc>
          <w:tcPr>
            <w:tcW w:w="4688" w:type="dxa"/>
            <w:tcBorders>
              <w:top w:val="single" w:sz="4" w:space="0" w:color="000000"/>
              <w:start w:val="single" w:sz="4" w:space="0" w:color="000000"/>
              <w:bottom w:val="single" w:sz="4" w:space="0" w:color="000000"/>
              <w:end w:val="single" w:sz="4" w:space="0" w:color="000000"/>
            </w:tcBorders>
          </w:tcPr>
          <w:p>
            <w:pPr>
              <w:pStyle w:val="Default"/>
              <w:bidi w:val="0"/>
              <w:ind w:hanging="0" w:start="0" w:end="0"/>
              <w:rPr>
                <w:rFonts w:ascii="Arial" w:hAnsi="Arial" w:cs="Arial"/>
                <w:sz w:val="20"/>
                <w:szCs w:val="20"/>
              </w:rPr>
            </w:pPr>
            <w:r>
              <w:rPr>
                <w:rFonts w:cs="Arial" w:ascii="Arial" w:hAnsi="Arial"/>
                <w:sz w:val="20"/>
                <w:szCs w:val="20"/>
              </w:rPr>
            </w:r>
          </w:p>
          <w:p>
            <w:pPr>
              <w:pStyle w:val="Default"/>
              <w:bidi w:val="0"/>
              <w:ind w:hanging="0" w:start="0" w:end="0"/>
              <w:rPr>
                <w:rFonts w:ascii="Arial" w:hAnsi="Arial" w:cs="Arial"/>
                <w:sz w:val="20"/>
                <w:szCs w:val="20"/>
              </w:rPr>
            </w:pPr>
            <w:r>
              <w:rPr>
                <w:rFonts w:cs="Arial" w:ascii="Arial" w:hAnsi="Arial"/>
                <w:sz w:val="20"/>
                <w:szCs w:val="20"/>
              </w:rPr>
              <w:t xml:space="preserve">Upon review of the tender documentation, the following requirement was identified: </w:t>
            </w:r>
          </w:p>
          <w:p>
            <w:pPr>
              <w:pStyle w:val="Default"/>
              <w:bidi w:val="0"/>
              <w:ind w:hanging="0" w:start="0" w:end="0"/>
              <w:rPr>
                <w:rFonts w:ascii="Arial" w:hAnsi="Arial" w:cs="Arial"/>
                <w:sz w:val="20"/>
                <w:szCs w:val="20"/>
              </w:rPr>
            </w:pPr>
            <w:r>
              <w:rPr>
                <w:rFonts w:cs="Arial" w:ascii="Arial" w:hAnsi="Arial"/>
                <w:sz w:val="20"/>
                <w:szCs w:val="20"/>
              </w:rPr>
              <w:t>“</w:t>
            </w:r>
            <w:r>
              <w:rPr>
                <w:rFonts w:cs="Arial" w:ascii="Arial" w:hAnsi="Arial"/>
                <w:sz w:val="20"/>
                <w:szCs w:val="20"/>
              </w:rPr>
              <w:t xml:space="preserve">Temperature: 5 °C or better (18 °C below ambient or better).” </w:t>
            </w:r>
          </w:p>
          <w:p>
            <w:pPr>
              <w:pStyle w:val="Default"/>
              <w:bidi w:val="0"/>
              <w:ind w:hanging="0" w:start="0" w:end="0"/>
              <w:rPr>
                <w:rFonts w:ascii="Arial" w:hAnsi="Arial" w:cs="Arial"/>
                <w:sz w:val="20"/>
                <w:szCs w:val="20"/>
              </w:rPr>
            </w:pPr>
            <w:r>
              <w:rPr>
                <w:rFonts w:cs="Arial" w:ascii="Arial" w:hAnsi="Arial"/>
                <w:sz w:val="20"/>
                <w:szCs w:val="20"/>
              </w:rPr>
              <w:t xml:space="preserve">Request for amendment of the technical specification: Temperature: ambient -10 °C or better </w:t>
            </w:r>
          </w:p>
          <w:p>
            <w:pPr>
              <w:pStyle w:val="Default"/>
              <w:bidi w:val="0"/>
              <w:ind w:hanging="0" w:start="0" w:end="0"/>
              <w:rPr>
                <w:rFonts w:ascii="Arial" w:hAnsi="Arial" w:cs="Arial"/>
                <w:sz w:val="20"/>
                <w:szCs w:val="20"/>
              </w:rPr>
            </w:pPr>
            <w:r>
              <w:rPr>
                <w:rFonts w:cs="Arial" w:ascii="Arial" w:hAnsi="Arial"/>
                <w:sz w:val="20"/>
                <w:szCs w:val="20"/>
              </w:rPr>
              <w:t xml:space="preserve">Justification: Considering that the system in question is intended for honey analysis, we would like to emphasize that all relevant analytical procedures in practice are performed under controlled room temperature conditions of approximately 25 °C, which represents the standard laboratory environment for such analyses. </w:t>
            </w:r>
          </w:p>
          <w:p>
            <w:pPr>
              <w:pStyle w:val="Default"/>
              <w:bidi w:val="0"/>
              <w:ind w:hanging="0" w:start="0" w:end="0"/>
              <w:rPr>
                <w:rFonts w:ascii="Arial" w:hAnsi="Arial" w:cs="Arial"/>
                <w:sz w:val="20"/>
                <w:szCs w:val="20"/>
              </w:rPr>
            </w:pPr>
            <w:r>
              <w:rPr>
                <w:rFonts w:cs="Arial" w:ascii="Arial" w:hAnsi="Arial"/>
                <w:sz w:val="20"/>
                <w:szCs w:val="20"/>
              </w:rPr>
              <w:t xml:space="preserve">From this perspective, requiring operation at 5 °C or 18 °C below ambient temperature is not in line with the actual methodological requirements and is not practical for routine laboratory use. </w:t>
            </w:r>
          </w:p>
          <w:p>
            <w:pPr>
              <w:pStyle w:val="Default"/>
              <w:bidi w:val="0"/>
              <w:ind w:hanging="0" w:start="0" w:end="0"/>
              <w:rPr>
                <w:rFonts w:ascii="Arial" w:hAnsi="Arial" w:cs="Arial"/>
                <w:sz w:val="20"/>
                <w:szCs w:val="20"/>
              </w:rPr>
            </w:pPr>
            <w:r>
              <w:rPr>
                <w:rFonts w:cs="Arial" w:ascii="Arial" w:hAnsi="Arial"/>
                <w:sz w:val="20"/>
                <w:szCs w:val="20"/>
              </w:rPr>
              <w:t xml:space="preserve">In this regard, we propose that the specification be redefined as follows: Temperature: ambient -10 °C or better </w:t>
            </w:r>
          </w:p>
          <w:p>
            <w:pPr>
              <w:pStyle w:val="Normal"/>
              <w:bidi w:val="0"/>
              <w:spacing w:lineRule="auto" w:line="240" w:before="0" w:after="0"/>
              <w:ind w:hanging="0" w:start="0" w:end="0"/>
              <w:jc w:val="both"/>
              <w:rPr/>
            </w:pPr>
            <w:r>
              <w:rPr>
                <w:rFonts w:cs="Arial" w:ascii="Arial" w:hAnsi="Arial"/>
                <w:sz w:val="20"/>
                <w:szCs w:val="20"/>
              </w:rPr>
              <w:t>Such clarification would ensure technical transparency, prevent unnecessary system complexity, and enable fair and comparable competition among bidders, without affecting the quality or reliability of analytical results.</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Contracting Authority remains with the requirements defined in the tender documentation. The required capability for operation at lower temperatures has been specified in order to ensure greater system flexibility and compatibility with different HPLC/UHPLC methods, as well as the possibility for implementation of existing and future analytical methods and research applications.</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stated requirement has not been defined exclusively based on current routine analyses, but rather represents a general technical requirement that enables broader applicability of the system and greater flexibility in the development, optimization and validation of analytical methods.</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Furthermore, by conducting market research in the manner prescribed by the Law on Public Procurement, the Contracting Authority has established that there are multiple manufacturers whose systems meet the required technical characteristics, including the capability to operate at temperatures of at least 18 °C below ambient temperature, and that the stated requirement is not tailored exclusively to a single manufacturer.</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technical specifications do not refer to a specific brand, source, process, trademark, patent, type, origin or production, nor do they result in giving preference to or eliminating certain economic operators, in accordance with Article 100 of the Law on Public Procurement.</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pPr>
            <w:r>
              <w:rPr>
                <w:rFonts w:cs="Arial" w:ascii="Arial" w:hAnsi="Arial"/>
                <w:sz w:val="20"/>
                <w:szCs w:val="20"/>
              </w:rPr>
              <w:t>Considering the above, the Contracting Authority considers the requirement justified and remains with the defined technical requirement from the tender documentation.</w:t>
            </w:r>
          </w:p>
        </w:tc>
      </w:tr>
      <w:tr>
        <w:trPr/>
        <w:tc>
          <w:tcPr>
            <w:tcW w:w="523" w:type="dxa"/>
            <w:tcBorders>
              <w:top w:val="single" w:sz="4" w:space="0" w:color="000000"/>
              <w:start w:val="single" w:sz="4" w:space="0" w:color="000000"/>
              <w:bottom w:val="single" w:sz="4" w:space="0" w:color="000000"/>
              <w:end w:val="single" w:sz="4" w:space="0" w:color="000000"/>
            </w:tcBorders>
          </w:tcPr>
          <w:p>
            <w:pPr>
              <w:pStyle w:val="Normal"/>
              <w:tabs>
                <w:tab w:val="clear" w:pos="720"/>
              </w:tabs>
              <w:bidi w:val="0"/>
              <w:spacing w:lineRule="auto" w:line="240" w:before="0" w:after="0"/>
              <w:ind w:hanging="0" w:start="0" w:end="0"/>
              <w:rPr/>
            </w:pPr>
            <w:r>
              <w:rPr>
                <w:rFonts w:cs="Arial" w:ascii="Arial" w:hAnsi="Arial"/>
                <w:sz w:val="20"/>
                <w:szCs w:val="20"/>
              </w:rPr>
              <w:t>7</w:t>
            </w:r>
          </w:p>
        </w:tc>
        <w:tc>
          <w:tcPr>
            <w:tcW w:w="4688" w:type="dxa"/>
            <w:tcBorders>
              <w:top w:val="single" w:sz="4" w:space="0" w:color="000000"/>
              <w:start w:val="single" w:sz="4" w:space="0" w:color="000000"/>
              <w:bottom w:val="single" w:sz="4" w:space="0" w:color="000000"/>
              <w:end w:val="single" w:sz="4" w:space="0" w:color="000000"/>
            </w:tcBorders>
          </w:tcPr>
          <w:p>
            <w:pPr>
              <w:pStyle w:val="Default"/>
              <w:tabs>
                <w:tab w:val="clear" w:pos="720"/>
              </w:tabs>
              <w:bidi w:val="0"/>
              <w:ind w:hanging="0" w:start="0" w:end="0"/>
              <w:rPr>
                <w:rFonts w:ascii="Arial" w:hAnsi="Arial" w:cs="Arial"/>
                <w:sz w:val="20"/>
                <w:szCs w:val="20"/>
              </w:rPr>
            </w:pPr>
            <w:r>
              <w:rPr>
                <w:rFonts w:cs="Arial" w:ascii="Arial" w:hAnsi="Arial"/>
                <w:sz w:val="20"/>
                <w:szCs w:val="20"/>
              </w:rPr>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Spectral width I resolution: </w:t>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We kindly request an amendment to the tender documentation for Lot 3 related to the UV-Vis spectrophotometer, specifically in the section defining the technical specifications for spectral bandwidth and resolution parameters. </w:t>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Namely, the documentation requires a spectral bandwidth of 2 nm or narrower, while the resolution is defined in the range of 0.2 to 5 nm, which represents technically inconsistent and mutually contradictory requirements. </w:t>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Considering that spectral resolution is directly dependent on the spectral bandwidth and does not represent an independent parameter, we kindly request that the requirement be clarified in one of the following ways: </w:t>
            </w:r>
          </w:p>
          <w:p>
            <w:pPr>
              <w:pStyle w:val="Default"/>
              <w:tabs>
                <w:tab w:val="clear" w:pos="720"/>
              </w:tabs>
              <w:bidi w:val="0"/>
              <w:spacing w:before="0" w:after="159"/>
              <w:ind w:hanging="0" w:start="0" w:end="0"/>
              <w:rPr>
                <w:rFonts w:ascii="Arial" w:hAnsi="Arial" w:cs="Arial"/>
                <w:sz w:val="20"/>
                <w:szCs w:val="20"/>
              </w:rPr>
            </w:pPr>
            <w:r>
              <w:rPr>
                <w:rFonts w:cs="Arial" w:ascii="Arial" w:hAnsi="Arial"/>
                <w:sz w:val="20"/>
                <w:szCs w:val="20"/>
              </w:rPr>
              <w:t xml:space="preserve">1. To define the parameter as data resolution or data interval in the range of 0.2 to 2 nm or wider, so that the specification is technically valid; </w:t>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2. To remove the resolution parameter from the technical specification. </w:t>
            </w:r>
          </w:p>
          <w:p>
            <w:pPr>
              <w:pStyle w:val="Default"/>
              <w:tabs>
                <w:tab w:val="clear" w:pos="720"/>
              </w:tabs>
              <w:bidi w:val="0"/>
              <w:ind w:hanging="0" w:start="0" w:end="0"/>
              <w:rPr>
                <w:rFonts w:ascii="Arial" w:hAnsi="Arial" w:cs="Arial"/>
                <w:sz w:val="20"/>
                <w:szCs w:val="20"/>
              </w:rPr>
            </w:pPr>
            <w:r>
              <w:rPr>
                <w:rFonts w:cs="Arial" w:ascii="Arial" w:hAnsi="Arial"/>
                <w:sz w:val="20"/>
                <w:szCs w:val="20"/>
              </w:rPr>
            </w:r>
          </w:p>
          <w:p>
            <w:pPr>
              <w:pStyle w:val="Normal"/>
              <w:tabs>
                <w:tab w:val="clear" w:pos="720"/>
              </w:tabs>
              <w:bidi w:val="0"/>
              <w:spacing w:lineRule="auto" w:line="240" w:before="0" w:after="0"/>
              <w:ind w:hanging="0" w:start="0" w:end="0"/>
              <w:jc w:val="both"/>
              <w:rPr/>
            </w:pPr>
            <w:r>
              <w:rPr>
                <w:rFonts w:cs="Arial" w:ascii="Arial" w:hAnsi="Arial"/>
                <w:sz w:val="20"/>
                <w:szCs w:val="20"/>
              </w:rPr>
              <w:t>The proposed amendment is in accordance with the principles of UV-Vis spectrophotometry and common industry practice among equipment manufacturers, and would enable clear and unambiguous interpretation of the requirements by all bidders.</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First, it is important to clarify that the requirement stated in the tender documentation as:</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 Resolution: 0.2 to 5 nm or equivalent</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refers to data resolution / data interval, i.e., the data collection step during spectrum scanning, and not to spectral bandwidth.</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Data resolution (also referred to as data interval, wavelength interval, or sampling interval) represents how frequently the instrument records absorbance or transmittance across the wavelength range. For example, a data resolution of 0.2 nm means that the instrument records data every 0.2 nm, while 1 nm means data acquisition every 1 nm. This parameter defines the density of collected data and the precision of spectral display.</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The Contracting Authority remains with the requirements defined in the tender documentation, as the specified parameters are neither technically contradictory nor represent the same requirement.</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Namely, in UV-Vis spectrophotometry it is necessary to clearly distinguish between spectral bandwidth and data resolution / data interval.</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Spectral bandwidth represents an optical characteristic of the instrument and defines the ability of the monochromator to separate closely positioned wavelengths. This parameter directly affects the quality of optical separation of spectral lines and reflects the performance of the optical system.</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On the other hand, data resolution represents the data collection step during spectrum scanning and does not represent the same technical characteristic as spectral bandwidth.</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These two parameters are not identical and do not exclude each other. An instrument may have a spectral bandwidth of 2 nm while simultaneously having a data resolution of 0.2 nm, which is technically correct and represents standard practice for modern UV-Vis spectrophotometers.</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The requirement for a spectral bandwidth of 2 nm or narrower refers to the quality of the optical system, while the resolution requirement in the range of 0.2 to 5 nm defines the possibility of selecting an appropriate measurement interval according to the analytical needs of the user.</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Therefore, these requirements are not contradictory but rather represent two different and complementary parameters that together define the quality, functionality, and applicability of the instrument.</w:t>
            </w:r>
          </w:p>
          <w:p>
            <w:pPr>
              <w:pStyle w:val="Normal"/>
              <w:shd w:fill="FFFFFF" w:val="clear"/>
              <w:tabs>
                <w:tab w:val="clear" w:pos="720"/>
              </w:tabs>
              <w:bidi w:val="0"/>
              <w:spacing w:lineRule="auto" w:line="240" w:before="0" w:after="0"/>
              <w:ind w:hanging="0" w:start="0" w:end="0"/>
              <w:jc w:val="both"/>
              <w:rPr/>
            </w:pPr>
            <w:r>
              <w:rPr>
                <w:rFonts w:cs="Arial" w:ascii="Arial" w:hAnsi="Arial"/>
                <w:sz w:val="20"/>
                <w:szCs w:val="20"/>
              </w:rPr>
              <w:t>For the above reasons, the technical specification remains unchanged.</w:t>
            </w:r>
          </w:p>
        </w:tc>
      </w:tr>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tabs>
                <w:tab w:val="clear" w:pos="720"/>
              </w:tabs>
              <w:bidi w:val="0"/>
              <w:spacing w:lineRule="auto" w:line="240" w:before="0" w:after="0"/>
              <w:ind w:hanging="0" w:start="0" w:end="0"/>
              <w:rPr/>
            </w:pPr>
            <w:r>
              <w:rPr>
                <w:rFonts w:cs="Arial" w:ascii="Arial" w:hAnsi="Arial"/>
                <w:sz w:val="20"/>
                <w:szCs w:val="20"/>
              </w:rPr>
              <w:t>8</w:t>
            </w:r>
          </w:p>
        </w:tc>
        <w:tc>
          <w:tcPr>
            <w:tcW w:w="4688" w:type="dxa"/>
            <w:tcBorders>
              <w:top w:val="single" w:sz="4" w:space="0" w:color="000000"/>
              <w:start w:val="single" w:sz="4" w:space="0" w:color="000000"/>
              <w:bottom w:val="single" w:sz="4" w:space="0" w:color="000000"/>
              <w:end w:val="single" w:sz="4" w:space="0" w:color="000000"/>
            </w:tcBorders>
          </w:tcPr>
          <w:p>
            <w:pPr>
              <w:pStyle w:val="Default"/>
              <w:tabs>
                <w:tab w:val="clear" w:pos="720"/>
              </w:tabs>
              <w:bidi w:val="0"/>
              <w:ind w:hanging="0" w:start="0" w:end="0"/>
              <w:rPr>
                <w:rFonts w:ascii="Arial" w:hAnsi="Arial" w:cs="Arial"/>
                <w:sz w:val="20"/>
                <w:szCs w:val="20"/>
              </w:rPr>
            </w:pPr>
            <w:r>
              <w:rPr>
                <w:rFonts w:cs="Arial" w:ascii="Arial" w:hAnsi="Arial"/>
                <w:sz w:val="20"/>
                <w:szCs w:val="20"/>
              </w:rPr>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Cuvette Holder </w:t>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We kindly request an amendment to the tender documentation in the section related to the UV-Vis spectrophotometer, specifically regarding the technical specification defining the cuvette holder. </w:t>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The current documentation specifies a holder with 8 positions for 10 mm cuvettes. We believe that such a requirement is not functionally necessary, considering that different manufacturers offer holders with different numbers of positions (e.g. 6, 7, 8, or more) while providing fully equivalent practical functionality. </w:t>
            </w:r>
          </w:p>
          <w:p>
            <w:pPr>
              <w:pStyle w:val="Default"/>
              <w:tabs>
                <w:tab w:val="clear" w:pos="720"/>
              </w:tabs>
              <w:bidi w:val="0"/>
              <w:ind w:hanging="0" w:start="0" w:end="0"/>
              <w:rPr>
                <w:rFonts w:ascii="Arial" w:hAnsi="Arial" w:cs="Arial"/>
                <w:sz w:val="20"/>
                <w:szCs w:val="20"/>
              </w:rPr>
            </w:pPr>
            <w:r>
              <w:rPr>
                <w:rFonts w:cs="Arial" w:ascii="Arial" w:hAnsi="Arial"/>
                <w:sz w:val="20"/>
                <w:szCs w:val="20"/>
              </w:rPr>
              <w:t xml:space="preserve">Accordingly, we kindly request that the requirement be revised to allow a holder with at least 7 positions for 10 mm cuvettes, or an equivalent solution providing the same functionality, which would enable broader competition among bidders without affecting the quality or reliability of the analysis. </w:t>
            </w:r>
          </w:p>
          <w:p>
            <w:pPr>
              <w:pStyle w:val="Normal"/>
              <w:tabs>
                <w:tab w:val="clear" w:pos="720"/>
              </w:tabs>
              <w:bidi w:val="0"/>
              <w:spacing w:lineRule="auto" w:line="240" w:before="0" w:after="0"/>
              <w:ind w:hanging="0" w:start="0" w:end="0"/>
              <w:jc w:val="both"/>
              <w:rPr/>
            </w:pPr>
            <w:r>
              <w:rPr>
                <w:rFonts w:cs="Arial" w:ascii="Arial" w:hAnsi="Arial"/>
                <w:sz w:val="20"/>
                <w:szCs w:val="20"/>
              </w:rPr>
              <w:t>The number of positions within this range does not substantially affect analytical performance, accuracy, or repeatability in UV-Vis spectrophotometry, but rather represents a manufacturer-specific design solution. The difference between 7 and 8 positions does not affect the functionality of the system under real working conditions.</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t>After reviewing the request, the Contracting Authority agrees that the number of cuvette positions in this case does not significantly affect the analytical performance, accuracy, or repeatability of the UV-Vis spectrophotometer, but rather represents a manufacturer-specific design solution.</w:t>
            </w:r>
          </w:p>
          <w:p>
            <w:pPr>
              <w:pStyle w:val="Normal"/>
              <w:shd w:fill="FFFFFF" w:val="clear"/>
              <w:tabs>
                <w:tab w:val="clear" w:pos="720"/>
              </w:tabs>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tabs>
                <w:tab w:val="clear" w:pos="720"/>
              </w:tabs>
              <w:bidi w:val="0"/>
              <w:spacing w:lineRule="auto" w:line="240" w:before="0" w:after="0"/>
              <w:ind w:hanging="0" w:start="0" w:end="0"/>
              <w:jc w:val="both"/>
              <w:rPr/>
            </w:pPr>
            <w:r>
              <w:rPr>
                <w:rFonts w:cs="Arial" w:ascii="Arial" w:hAnsi="Arial"/>
                <w:sz w:val="20"/>
                <w:szCs w:val="20"/>
              </w:rPr>
              <w:t>Considering that a cuvette holder with 7 positions for 10 mm cuvettes provides equivalent practical functionality and does not compromise the quality or reliability of the analysis, the Contracting Authority confirms that an instrument equipped with a holder with 7 positions for 10 mm cuvettes will be accepted as compliant with the tender requirements.</w:t>
            </w:r>
          </w:p>
        </w:tc>
      </w:tr>
      <w:tr>
        <w:trPr>
          <w:cantSplit/>
        </w:trPr>
        <w:tc>
          <w:tcPr>
            <w:tcW w:w="523" w:type="dxa"/>
            <w:tcBorders>
              <w:top w:val="single" w:sz="4" w:space="0" w:color="000000"/>
              <w:start w:val="single" w:sz="4" w:space="0" w:color="000000"/>
              <w:bottom w:val="single" w:sz="4" w:space="0" w:color="000000"/>
              <w:end w:val="single" w:sz="4" w:space="0" w:color="000000"/>
            </w:tcBorders>
          </w:tcPr>
          <w:p>
            <w:pPr>
              <w:pStyle w:val="Normal"/>
              <w:bidi w:val="0"/>
              <w:spacing w:lineRule="auto" w:line="240" w:before="0" w:after="0"/>
              <w:ind w:hanging="0" w:start="0" w:end="0"/>
              <w:rPr/>
            </w:pPr>
            <w:r>
              <w:rPr>
                <w:rFonts w:cs="Arial" w:ascii="Arial" w:hAnsi="Arial"/>
                <w:sz w:val="20"/>
                <w:szCs w:val="20"/>
              </w:rPr>
              <w:t>9</w:t>
            </w:r>
          </w:p>
        </w:tc>
        <w:tc>
          <w:tcPr>
            <w:tcW w:w="4688" w:type="dxa"/>
            <w:tcBorders>
              <w:top w:val="single" w:sz="4" w:space="0" w:color="000000"/>
              <w:start w:val="single" w:sz="4" w:space="0" w:color="000000"/>
              <w:bottom w:val="single" w:sz="4" w:space="0" w:color="000000"/>
              <w:end w:val="single" w:sz="4" w:space="0" w:color="000000"/>
            </w:tcBorders>
          </w:tcPr>
          <w:p>
            <w:pPr>
              <w:pStyle w:val="Default"/>
              <w:bidi w:val="0"/>
              <w:ind w:hanging="0" w:start="0" w:end="0"/>
              <w:rPr>
                <w:rFonts w:ascii="Arial" w:hAnsi="Arial" w:cs="Arial"/>
                <w:sz w:val="20"/>
                <w:szCs w:val="20"/>
              </w:rPr>
            </w:pPr>
            <w:r>
              <w:rPr>
                <w:rFonts w:cs="Arial" w:ascii="Arial" w:hAnsi="Arial"/>
                <w:sz w:val="20"/>
                <w:szCs w:val="20"/>
              </w:rPr>
              <w:t xml:space="preserve">Request for Technical Specification Correction for the FTIR spectrometer system: </w:t>
            </w:r>
          </w:p>
          <w:p>
            <w:pPr>
              <w:pStyle w:val="Default"/>
              <w:bidi w:val="0"/>
              <w:ind w:hanging="0" w:start="0" w:end="0"/>
              <w:rPr>
                <w:rFonts w:ascii="Arial" w:hAnsi="Arial" w:cs="Arial"/>
                <w:sz w:val="20"/>
                <w:szCs w:val="20"/>
              </w:rPr>
            </w:pPr>
            <w:r>
              <w:rPr>
                <w:rFonts w:cs="Arial" w:ascii="Arial" w:hAnsi="Arial"/>
                <w:sz w:val="20"/>
                <w:szCs w:val="20"/>
              </w:rPr>
              <w:t xml:space="preserve">8. Dear Sir/Madam, </w:t>
            </w:r>
          </w:p>
          <w:p>
            <w:pPr>
              <w:pStyle w:val="Default"/>
              <w:bidi w:val="0"/>
              <w:ind w:hanging="0" w:start="0" w:end="0"/>
              <w:rPr>
                <w:rFonts w:ascii="Arial" w:hAnsi="Arial" w:cs="Arial"/>
                <w:sz w:val="20"/>
                <w:szCs w:val="20"/>
              </w:rPr>
            </w:pPr>
            <w:r>
              <w:rPr>
                <w:rFonts w:cs="Arial" w:ascii="Arial" w:hAnsi="Arial"/>
                <w:sz w:val="20"/>
                <w:szCs w:val="20"/>
              </w:rPr>
            </w:r>
          </w:p>
          <w:p>
            <w:pPr>
              <w:pStyle w:val="Default"/>
              <w:bidi w:val="0"/>
              <w:ind w:hanging="0" w:start="0" w:end="0"/>
              <w:rPr>
                <w:rFonts w:ascii="Arial" w:hAnsi="Arial" w:cs="Arial"/>
                <w:sz w:val="20"/>
                <w:szCs w:val="20"/>
              </w:rPr>
            </w:pPr>
            <w:r>
              <w:rPr>
                <w:rFonts w:cs="Arial" w:ascii="Arial" w:hAnsi="Arial"/>
                <w:sz w:val="20"/>
                <w:szCs w:val="20"/>
              </w:rPr>
              <w:t xml:space="preserve">We kindly request consideration of an amendment to the technical specification related to the FTIR spectrometer, specifically to modify the required spectral resolution from: </w:t>
            </w:r>
          </w:p>
          <w:p>
            <w:pPr>
              <w:pStyle w:val="Default"/>
              <w:bidi w:val="0"/>
              <w:ind w:hanging="0" w:start="0" w:end="0"/>
              <w:rPr>
                <w:rFonts w:ascii="Arial" w:hAnsi="Arial" w:cs="Arial"/>
                <w:sz w:val="20"/>
                <w:szCs w:val="20"/>
              </w:rPr>
            </w:pPr>
            <w:r>
              <w:rPr>
                <w:rFonts w:cs="Arial" w:ascii="Arial" w:hAnsi="Arial"/>
                <w:sz w:val="20"/>
                <w:szCs w:val="20"/>
              </w:rPr>
              <w:t>“</w:t>
            </w:r>
            <w:r>
              <w:rPr>
                <w:rFonts w:cs="Arial" w:ascii="Arial" w:hAnsi="Arial"/>
                <w:sz w:val="20"/>
                <w:szCs w:val="20"/>
              </w:rPr>
              <w:t>Spectral resolution of 0.6 cm</w:t>
            </w:r>
            <w:r>
              <w:rPr>
                <w:rFonts w:cs="Arial" w:ascii="Cambria Math" w:hAnsi="Cambria Math"/>
                <w:sz w:val="20"/>
                <w:szCs w:val="20"/>
              </w:rPr>
              <w:t>⁻</w:t>
            </w:r>
            <w:r>
              <w:rPr>
                <w:rFonts w:cs="Arial" w:ascii="Arial" w:hAnsi="Arial"/>
                <w:sz w:val="20"/>
                <w:szCs w:val="20"/>
              </w:rPr>
              <w:t xml:space="preserve">¹ or better” </w:t>
            </w:r>
          </w:p>
          <w:p>
            <w:pPr>
              <w:pStyle w:val="Default"/>
              <w:bidi w:val="0"/>
              <w:ind w:hanging="0" w:start="0" w:end="0"/>
              <w:rPr>
                <w:rFonts w:ascii="Arial" w:hAnsi="Arial" w:cs="Arial"/>
                <w:sz w:val="20"/>
                <w:szCs w:val="20"/>
              </w:rPr>
            </w:pPr>
            <w:r>
              <w:rPr>
                <w:rFonts w:cs="Arial" w:ascii="Arial" w:hAnsi="Arial"/>
                <w:sz w:val="20"/>
                <w:szCs w:val="20"/>
              </w:rPr>
              <w:t xml:space="preserve">to </w:t>
            </w:r>
          </w:p>
          <w:p>
            <w:pPr>
              <w:pStyle w:val="Default"/>
              <w:bidi w:val="0"/>
              <w:ind w:hanging="0" w:start="0" w:end="0"/>
              <w:rPr>
                <w:rFonts w:ascii="Arial" w:hAnsi="Arial" w:cs="Arial"/>
                <w:sz w:val="20"/>
                <w:szCs w:val="20"/>
              </w:rPr>
            </w:pPr>
            <w:r>
              <w:rPr>
                <w:rFonts w:cs="Arial" w:ascii="Arial" w:hAnsi="Arial"/>
                <w:sz w:val="20"/>
                <w:szCs w:val="20"/>
              </w:rPr>
              <w:t>“</w:t>
            </w:r>
            <w:r>
              <w:rPr>
                <w:rFonts w:cs="Arial" w:ascii="Arial" w:hAnsi="Arial"/>
                <w:sz w:val="20"/>
                <w:szCs w:val="20"/>
              </w:rPr>
              <w:t>Spectral resolution of 0.9 cm</w:t>
            </w:r>
            <w:r>
              <w:rPr>
                <w:rFonts w:cs="Arial" w:ascii="Cambria Math" w:hAnsi="Cambria Math"/>
                <w:sz w:val="20"/>
                <w:szCs w:val="20"/>
              </w:rPr>
              <w:t>⁻</w:t>
            </w:r>
            <w:r>
              <w:rPr>
                <w:rFonts w:cs="Arial" w:ascii="Arial" w:hAnsi="Arial"/>
                <w:sz w:val="20"/>
                <w:szCs w:val="20"/>
              </w:rPr>
              <w:t xml:space="preserve">¹ or better”. </w:t>
            </w:r>
          </w:p>
          <w:p>
            <w:pPr>
              <w:pStyle w:val="Default"/>
              <w:bidi w:val="0"/>
              <w:ind w:hanging="0" w:start="0" w:end="0"/>
              <w:rPr>
                <w:rFonts w:ascii="Arial" w:hAnsi="Arial" w:cs="Arial"/>
                <w:sz w:val="20"/>
                <w:szCs w:val="20"/>
              </w:rPr>
            </w:pPr>
            <w:r>
              <w:rPr>
                <w:rFonts w:cs="Arial" w:ascii="Arial" w:hAnsi="Arial"/>
                <w:sz w:val="20"/>
                <w:szCs w:val="20"/>
              </w:rPr>
              <w:t>The proposed amendment does not represent a substantial technical limitation and does not significantly affect the quality or reliability of measurements in standard FTIR applications. A resolution of 0.9 cm</w:t>
            </w:r>
            <w:r>
              <w:rPr>
                <w:rFonts w:cs="Arial" w:ascii="Cambria Math" w:hAnsi="Cambria Math"/>
                <w:sz w:val="20"/>
                <w:szCs w:val="20"/>
              </w:rPr>
              <w:t>⁻</w:t>
            </w:r>
            <w:r>
              <w:rPr>
                <w:rFonts w:cs="Arial" w:ascii="Arial" w:hAnsi="Arial"/>
                <w:sz w:val="20"/>
                <w:szCs w:val="20"/>
              </w:rPr>
              <w:t xml:space="preserve">¹ still enables: </w:t>
            </w:r>
          </w:p>
          <w:p>
            <w:pPr>
              <w:pStyle w:val="Default"/>
              <w:bidi w:val="0"/>
              <w:spacing w:before="0" w:after="158"/>
              <w:ind w:hanging="0" w:start="0" w:end="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accurate identification of functional groups, </w:t>
            </w:r>
          </w:p>
          <w:p>
            <w:pPr>
              <w:pStyle w:val="Default"/>
              <w:bidi w:val="0"/>
              <w:spacing w:before="0" w:after="158"/>
              <w:ind w:hanging="0" w:start="0" w:end="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reliable qualitative and quantitative analysis, </w:t>
            </w:r>
          </w:p>
          <w:p>
            <w:pPr>
              <w:pStyle w:val="Default"/>
              <w:bidi w:val="0"/>
              <w:spacing w:before="0" w:after="158"/>
              <w:ind w:hanging="0" w:start="0" w:end="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high-quality spectral separation, </w:t>
            </w:r>
          </w:p>
          <w:p>
            <w:pPr>
              <w:pStyle w:val="Default"/>
              <w:bidi w:val="0"/>
              <w:ind w:hanging="0" w:start="0" w:end="0"/>
              <w:rPr>
                <w:rFonts w:ascii="Arial" w:hAnsi="Arial" w:cs="Arial"/>
                <w:sz w:val="20"/>
                <w:szCs w:val="20"/>
              </w:rPr>
            </w:pPr>
            <w:r>
              <w:rPr>
                <w:rFonts w:cs="Arial" w:ascii="Arial" w:hAnsi="Arial"/>
                <w:sz w:val="20"/>
                <w:szCs w:val="20"/>
              </w:rPr>
              <w:t xml:space="preserve">• </w:t>
            </w:r>
            <w:r>
              <w:rPr>
                <w:rFonts w:cs="Arial" w:ascii="Arial" w:hAnsi="Arial"/>
                <w:sz w:val="20"/>
                <w:szCs w:val="20"/>
              </w:rPr>
              <w:t xml:space="preserve">as well as full applicability of the instrument in routine laboratory analyses. </w:t>
            </w:r>
          </w:p>
          <w:p>
            <w:pPr>
              <w:pStyle w:val="Default"/>
              <w:bidi w:val="0"/>
              <w:ind w:hanging="0" w:start="0" w:end="0"/>
              <w:rPr>
                <w:rFonts w:ascii="Arial" w:hAnsi="Arial" w:cs="Arial"/>
                <w:sz w:val="20"/>
                <w:szCs w:val="20"/>
              </w:rPr>
            </w:pPr>
            <w:r>
              <w:rPr>
                <w:rFonts w:cs="Arial" w:ascii="Arial" w:hAnsi="Arial"/>
                <w:sz w:val="20"/>
                <w:szCs w:val="20"/>
              </w:rPr>
            </w:r>
          </w:p>
          <w:p>
            <w:pPr>
              <w:pStyle w:val="Default"/>
              <w:bidi w:val="0"/>
              <w:ind w:hanging="0" w:start="0" w:end="0"/>
              <w:rPr>
                <w:rFonts w:ascii="Arial" w:hAnsi="Arial" w:cs="Arial"/>
                <w:sz w:val="20"/>
                <w:szCs w:val="20"/>
              </w:rPr>
            </w:pPr>
            <w:r>
              <w:rPr>
                <w:rFonts w:cs="Arial" w:ascii="Arial" w:hAnsi="Arial"/>
                <w:sz w:val="20"/>
                <w:szCs w:val="20"/>
              </w:rPr>
              <w:t>For standard FTIR applications, the difference between 0.6 cm</w:t>
            </w:r>
            <w:r>
              <w:rPr>
                <w:rFonts w:cs="Arial" w:ascii="Cambria Math" w:hAnsi="Cambria Math"/>
                <w:sz w:val="20"/>
                <w:szCs w:val="20"/>
              </w:rPr>
              <w:t>⁻</w:t>
            </w:r>
            <w:r>
              <w:rPr>
                <w:rFonts w:cs="Arial" w:ascii="Arial" w:hAnsi="Arial"/>
                <w:sz w:val="20"/>
                <w:szCs w:val="20"/>
              </w:rPr>
              <w:t>¹ and 0.9 cm</w:t>
            </w:r>
            <w:r>
              <w:rPr>
                <w:rFonts w:cs="Arial" w:ascii="Cambria Math" w:hAnsi="Cambria Math"/>
                <w:sz w:val="20"/>
                <w:szCs w:val="20"/>
              </w:rPr>
              <w:t>⁻</w:t>
            </w:r>
            <w:r>
              <w:rPr>
                <w:rFonts w:cs="Arial" w:ascii="Arial" w:hAnsi="Arial"/>
                <w:sz w:val="20"/>
                <w:szCs w:val="20"/>
              </w:rPr>
              <w:t xml:space="preserve">¹ does not significantly affect spectral interpretation or analytical performance. At the same time, the proposed amendment would allow broader competition and availability of suitable instruments on the market. </w:t>
            </w:r>
          </w:p>
          <w:p>
            <w:pPr>
              <w:pStyle w:val="Normal"/>
              <w:bidi w:val="0"/>
              <w:spacing w:lineRule="auto" w:line="240" w:before="0" w:after="0"/>
              <w:ind w:hanging="0" w:start="0" w:end="0"/>
              <w:jc w:val="both"/>
              <w:rPr/>
            </w:pPr>
            <w:r>
              <w:rPr>
                <w:rFonts w:cs="Arial" w:ascii="Arial" w:hAnsi="Arial"/>
                <w:sz w:val="20"/>
                <w:szCs w:val="20"/>
              </w:rPr>
              <w:t>We believe that accepting this amendment would maintain the required quality and functionality of the instrument while enabling greater competitiveness in the public procurement process.</w:t>
            </w:r>
          </w:p>
        </w:tc>
        <w:tc>
          <w:tcPr>
            <w:tcW w:w="4411" w:type="dxa"/>
            <w:tcBorders>
              <w:top w:val="single" w:sz="4" w:space="0" w:color="000000"/>
              <w:start w:val="single" w:sz="4" w:space="0" w:color="000000"/>
              <w:bottom w:val="single" w:sz="4" w:space="0" w:color="000000"/>
              <w:end w:val="single" w:sz="4" w:space="0" w:color="000000"/>
            </w:tcBorders>
          </w:tcPr>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After careful technical consideration, we kindly inform you that the requested amendment from “spectral resolution of 0.6 cm</w:t>
            </w:r>
            <w:r>
              <w:rPr>
                <w:rFonts w:cs="Arial" w:ascii="Cambria Math" w:hAnsi="Cambria Math"/>
                <w:sz w:val="20"/>
                <w:szCs w:val="20"/>
              </w:rPr>
              <w:t>⁻</w:t>
            </w:r>
            <w:r>
              <w:rPr>
                <w:rFonts w:cs="Arial" w:ascii="Arial" w:hAnsi="Arial"/>
                <w:sz w:val="20"/>
                <w:szCs w:val="20"/>
              </w:rPr>
              <w:t>¹ or better” to “0.9 cm</w:t>
            </w:r>
            <w:r>
              <w:rPr>
                <w:rFonts w:cs="Arial" w:ascii="Cambria Math" w:hAnsi="Cambria Math"/>
                <w:sz w:val="20"/>
                <w:szCs w:val="20"/>
              </w:rPr>
              <w:t>⁻</w:t>
            </w:r>
            <w:r>
              <w:rPr>
                <w:rFonts w:cs="Arial" w:ascii="Arial" w:hAnsi="Arial"/>
                <w:sz w:val="20"/>
                <w:szCs w:val="20"/>
              </w:rPr>
              <w:t>¹ or better” cannot be accepted.</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The specified requirement of 0.6 cm</w:t>
            </w:r>
            <w:r>
              <w:rPr>
                <w:rFonts w:cs="Arial" w:ascii="Cambria Math" w:hAnsi="Cambria Math"/>
                <w:sz w:val="20"/>
                <w:szCs w:val="20"/>
              </w:rPr>
              <w:t>⁻</w:t>
            </w:r>
            <w:r>
              <w:rPr>
                <w:rFonts w:cs="Arial" w:ascii="Arial" w:hAnsi="Arial"/>
                <w:sz w:val="20"/>
                <w:szCs w:val="20"/>
              </w:rPr>
              <w:t>¹ has been intentionally defined in order to ensure the highest level of analytical performance, spectral accuracy, and long-term applicability of the instrument for both current and future analytical needs. The end user particularly emphasized the importance of high spectral resolution for reliable quantitative analysis, improved peak separation, and accurate evaluation of closely overlapping bands.</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In addition, the original intention during preparation of the technical specification was to target an even higher-performance system with superior spectral resolution capabilities. Therefore, the requested specification of 0.6 cm</w:t>
            </w:r>
            <w:r>
              <w:rPr>
                <w:rFonts w:cs="Arial" w:ascii="Cambria Math" w:hAnsi="Cambria Math"/>
                <w:sz w:val="20"/>
                <w:szCs w:val="20"/>
              </w:rPr>
              <w:t>⁻</w:t>
            </w:r>
            <w:r>
              <w:rPr>
                <w:rFonts w:cs="Arial" w:ascii="Arial" w:hAnsi="Arial"/>
                <w:sz w:val="20"/>
                <w:szCs w:val="20"/>
              </w:rPr>
              <w:t>¹ already represents a carefully considered balance between advanced analytical performance and market availability.</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Although a resolution of 0.9 cm</w:t>
            </w:r>
            <w:r>
              <w:rPr>
                <w:rFonts w:cs="Arial" w:ascii="Cambria Math" w:hAnsi="Cambria Math"/>
                <w:sz w:val="20"/>
                <w:szCs w:val="20"/>
              </w:rPr>
              <w:t>⁻</w:t>
            </w:r>
            <w:r>
              <w:rPr>
                <w:rFonts w:cs="Arial" w:ascii="Arial" w:hAnsi="Arial"/>
                <w:sz w:val="20"/>
                <w:szCs w:val="20"/>
              </w:rPr>
              <w:t>¹ may be sufficient for certain routine FTIR applications, it does not fully satisfy the intended analytical scope and performance expectations defined by the end user.</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t>Furthermore, the requested specification does not represent an unjustified restriction of competition, as there are instruments available on the market capable of meeting the required performance criteria.</w:t>
            </w:r>
          </w:p>
          <w:p>
            <w:pPr>
              <w:pStyle w:val="Normal"/>
              <w:shd w:fill="FFFFFF" w:val="clear"/>
              <w:bidi w:val="0"/>
              <w:spacing w:lineRule="auto" w:line="240" w:before="0" w:after="0"/>
              <w:ind w:hanging="0" w:start="0" w:end="0"/>
              <w:jc w:val="both"/>
              <w:rPr>
                <w:rFonts w:ascii="Arial" w:hAnsi="Arial" w:cs="Arial"/>
                <w:sz w:val="20"/>
                <w:szCs w:val="20"/>
              </w:rPr>
            </w:pPr>
            <w:r>
              <w:rPr>
                <w:rFonts w:cs="Arial" w:ascii="Arial" w:hAnsi="Arial"/>
                <w:sz w:val="20"/>
                <w:szCs w:val="20"/>
              </w:rPr>
            </w:r>
          </w:p>
          <w:p>
            <w:pPr>
              <w:pStyle w:val="Normal"/>
              <w:shd w:fill="FFFFFF" w:val="clear"/>
              <w:bidi w:val="0"/>
              <w:spacing w:lineRule="auto" w:line="240" w:before="0" w:after="0"/>
              <w:ind w:hanging="0" w:start="0" w:end="0"/>
              <w:jc w:val="both"/>
              <w:rPr/>
            </w:pPr>
            <w:r>
              <w:rPr>
                <w:rFonts w:cs="Arial" w:ascii="Arial" w:hAnsi="Arial"/>
                <w:sz w:val="20"/>
                <w:szCs w:val="20"/>
              </w:rPr>
              <w:t>For these reasons, the original technical requirement of “0.6 cm</w:t>
            </w:r>
            <w:r>
              <w:rPr>
                <w:rFonts w:cs="Arial" w:ascii="Cambria Math" w:hAnsi="Cambria Math"/>
                <w:sz w:val="20"/>
                <w:szCs w:val="20"/>
              </w:rPr>
              <w:t>⁻</w:t>
            </w:r>
            <w:r>
              <w:rPr>
                <w:rFonts w:cs="Arial" w:ascii="Arial" w:hAnsi="Arial"/>
                <w:sz w:val="20"/>
                <w:szCs w:val="20"/>
              </w:rPr>
              <w:t>¹ or better” remains unchanged.</w:t>
            </w:r>
          </w:p>
        </w:tc>
      </w:tr>
    </w:tbl>
    <w:p>
      <w:pPr>
        <w:pStyle w:val="Normal"/>
        <w:bidi w:val="0"/>
        <w:spacing w:lineRule="auto" w:line="276" w:before="0" w:after="200"/>
        <w:ind w:hanging="0" w:start="0" w:end="0"/>
        <w:rPr>
          <w:lang w:val="sr-Latn-RS"/>
        </w:rPr>
      </w:pPr>
      <w:r>
        <w:rPr>
          <w:lang w:val="sr-Latn-RS"/>
        </w:rPr>
      </w:r>
    </w:p>
    <w:sectPr>
      <w:headerReference w:type="even" r:id="rId2"/>
      <w:headerReference w:type="default" r:id="rId3"/>
      <w:headerReference w:type="first" r:id="rId4"/>
      <w:type w:val="nextPage"/>
      <w:pgSz w:w="12240" w:h="15840"/>
      <w:pgMar w:left="1417" w:right="1417" w:gutter="0" w:header="720" w:top="1417" w:footer="0" w:bottom="141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Aptos">
    <w:charset w:val="01" w:characterSet="utf-8"/>
    <w:family w:val="roman"/>
    <w:pitch w:val="variable"/>
  </w:font>
  <w:font w:name="Trebuchet MS">
    <w:charset w:val="01" w:characterSet="utf-8"/>
    <w:family w:val="roman"/>
    <w:pitch w:val="variable"/>
  </w:font>
  <w:font w:name="Arial">
    <w:charset w:val="01" w:characterSet="utf-8"/>
    <w:family w:val="roman"/>
    <w:pitch w:val="variable"/>
  </w:font>
  <w:font w:name="Cambria Math">
    <w:charset w:val="01" w:characterSet="utf-8"/>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bidi w:val="0"/>
      <w:spacing w:lineRule="auto" w:line="276" w:before="0" w:after="200"/>
      <w:ind w:hanging="0" w:start="0" w:end="0"/>
      <w:jc w:val="start"/>
      <w:textAlignment w:val="auto"/>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216" w:type="dxa"/>
      <w:jc w:val="start"/>
      <w:tblInd w:w="0" w:type="dxa"/>
      <w:tblLayout w:type="fixed"/>
      <w:tblCellMar>
        <w:top w:w="0" w:type="dxa"/>
        <w:start w:w="108" w:type="dxa"/>
        <w:bottom w:w="0" w:type="dxa"/>
        <w:end w:w="108" w:type="dxa"/>
      </w:tblCellMar>
    </w:tblPr>
    <w:tblGrid>
      <w:gridCol w:w="4785"/>
      <w:gridCol w:w="4431"/>
    </w:tblGrid>
    <w:tr>
      <w:trPr/>
      <w:tc>
        <w:tcPr>
          <w:tcW w:w="4785" w:type="dxa"/>
          <w:tcBorders/>
        </w:tcPr>
        <w:p>
          <w:pPr>
            <w:pStyle w:val="Header"/>
            <w:bidi w:val="0"/>
            <w:spacing w:lineRule="auto" w:line="276" w:before="0" w:after="0"/>
            <w:rPr/>
          </w:pPr>
          <w:r>
            <w:rPr/>
            <w:drawing>
              <wp:inline distT="0" distB="0" distL="0" distR="0">
                <wp:extent cx="2733675" cy="4000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2733675" cy="400050"/>
                        </a:xfrm>
                        <a:prstGeom prst="rect">
                          <a:avLst/>
                        </a:prstGeom>
                        <a:noFill/>
                      </pic:spPr>
                    </pic:pic>
                  </a:graphicData>
                </a:graphic>
              </wp:inline>
            </w:drawing>
          </w:r>
        </w:p>
      </w:tc>
      <w:tc>
        <w:tcPr>
          <w:tcW w:w="4431" w:type="dxa"/>
          <w:tcBorders/>
        </w:tcPr>
        <w:p>
          <w:pPr>
            <w:pStyle w:val="Header"/>
            <w:bidi w:val="0"/>
            <w:spacing w:lineRule="auto" w:line="276" w:before="0" w:after="0"/>
            <w:rPr/>
          </w:pPr>
          <w:r>
            <w:rPr/>
            <w:t xml:space="preserve">Karadjordjeva 4, 26000 Pancevo, </w:t>
          </w:r>
        </w:p>
        <w:p>
          <w:pPr>
            <w:pStyle w:val="Header"/>
            <w:bidi w:val="0"/>
            <w:spacing w:lineRule="auto" w:line="276" w:before="0" w:after="0"/>
            <w:rPr/>
          </w:pPr>
          <w:r>
            <w:rPr/>
            <w:t>Republic of Serbia</w:t>
          </w:r>
        </w:p>
        <w:p>
          <w:pPr>
            <w:pStyle w:val="Header"/>
            <w:bidi w:val="0"/>
            <w:spacing w:lineRule="auto" w:line="276" w:before="0" w:after="0"/>
            <w:rPr>
              <w:rFonts w:ascii="Times New Roman" w:hAnsi="Times New Roman"/>
              <w:sz w:val="24"/>
              <w:szCs w:val="24"/>
            </w:rPr>
          </w:pPr>
          <w:hyperlink r:id="rId2">
            <w:r>
              <w:rPr>
                <w:rStyle w:val="Hyperlink"/>
                <w:rFonts w:eastAsia="Times New Roman"/>
                <w:lang w:val="en-US" w:eastAsia="en-US" w:bidi="ar-SA"/>
              </w:rPr>
              <w:t>office@rrajuznibanat.rs</w:t>
            </w:r>
          </w:hyperlink>
        </w:p>
      </w:tc>
    </w:tr>
  </w:tbl>
  <w:p>
    <w:pPr>
      <w:pStyle w:val="Header"/>
      <w:bidi w:val="0"/>
      <w:spacing w:lineRule="auto" w:line="276" w:before="0" w:after="0"/>
      <w:rPr>
        <w:sz w:val="2"/>
        <w:szCs w:val="2"/>
      </w:rPr>
    </w:pPr>
    <w:r>
      <w:rPr>
        <w:sz w:val="2"/>
        <w:szCs w:val="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216" w:type="dxa"/>
      <w:jc w:val="start"/>
      <w:tblInd w:w="0" w:type="dxa"/>
      <w:tblLayout w:type="fixed"/>
      <w:tblCellMar>
        <w:top w:w="0" w:type="dxa"/>
        <w:start w:w="108" w:type="dxa"/>
        <w:bottom w:w="0" w:type="dxa"/>
        <w:end w:w="108" w:type="dxa"/>
      </w:tblCellMar>
    </w:tblPr>
    <w:tblGrid>
      <w:gridCol w:w="4785"/>
      <w:gridCol w:w="4431"/>
    </w:tblGrid>
    <w:tr>
      <w:trPr/>
      <w:tc>
        <w:tcPr>
          <w:tcW w:w="4785" w:type="dxa"/>
          <w:tcBorders/>
        </w:tcPr>
        <w:p>
          <w:pPr>
            <w:pStyle w:val="Header"/>
            <w:bidi w:val="0"/>
            <w:spacing w:lineRule="auto" w:line="276" w:before="0" w:after="0"/>
            <w:rPr/>
          </w:pPr>
          <w:r>
            <w:rPr/>
            <w:drawing>
              <wp:inline distT="0" distB="0" distL="0" distR="0">
                <wp:extent cx="2733675" cy="400050"/>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tretch>
                          <a:fillRect/>
                        </a:stretch>
                      </pic:blipFill>
                      <pic:spPr bwMode="auto">
                        <a:xfrm>
                          <a:off x="0" y="0"/>
                          <a:ext cx="2733675" cy="400050"/>
                        </a:xfrm>
                        <a:prstGeom prst="rect">
                          <a:avLst/>
                        </a:prstGeom>
                        <a:noFill/>
                      </pic:spPr>
                    </pic:pic>
                  </a:graphicData>
                </a:graphic>
              </wp:inline>
            </w:drawing>
          </w:r>
        </w:p>
      </w:tc>
      <w:tc>
        <w:tcPr>
          <w:tcW w:w="4431" w:type="dxa"/>
          <w:tcBorders/>
        </w:tcPr>
        <w:p>
          <w:pPr>
            <w:pStyle w:val="Header"/>
            <w:bidi w:val="0"/>
            <w:spacing w:lineRule="auto" w:line="276" w:before="0" w:after="0"/>
            <w:rPr/>
          </w:pPr>
          <w:r>
            <w:rPr/>
            <w:t xml:space="preserve">Karadjordjeva 4, 26000 Pancevo, </w:t>
          </w:r>
        </w:p>
        <w:p>
          <w:pPr>
            <w:pStyle w:val="Header"/>
            <w:bidi w:val="0"/>
            <w:spacing w:lineRule="auto" w:line="276" w:before="0" w:after="0"/>
            <w:rPr/>
          </w:pPr>
          <w:r>
            <w:rPr/>
            <w:t>Republic of Serbia</w:t>
          </w:r>
        </w:p>
        <w:p>
          <w:pPr>
            <w:pStyle w:val="Header"/>
            <w:bidi w:val="0"/>
            <w:spacing w:lineRule="auto" w:line="276" w:before="0" w:after="0"/>
            <w:rPr>
              <w:rFonts w:ascii="Times New Roman" w:hAnsi="Times New Roman"/>
              <w:sz w:val="24"/>
              <w:szCs w:val="24"/>
            </w:rPr>
          </w:pPr>
          <w:hyperlink r:id="rId2">
            <w:r>
              <w:rPr>
                <w:rStyle w:val="Hyperlink"/>
                <w:rFonts w:eastAsia="Times New Roman"/>
                <w:lang w:val="en-US" w:eastAsia="en-US" w:bidi="ar-SA"/>
              </w:rPr>
              <w:t>office@rrajuznibanat.rs</w:t>
            </w:r>
          </w:hyperlink>
        </w:p>
      </w:tc>
    </w:tr>
  </w:tbl>
  <w:p>
    <w:pPr>
      <w:pStyle w:val="Header"/>
      <w:bidi w:val="0"/>
      <w:spacing w:lineRule="auto" w:line="276" w:before="0" w:after="0"/>
      <w:rPr>
        <w:sz w:val="2"/>
        <w:szCs w:val="2"/>
      </w:rPr>
    </w:pPr>
    <w:r>
      <w:rPr>
        <w:sz w:val="2"/>
        <w:szCs w:val="2"/>
      </w:rPr>
    </w:r>
  </w:p>
</w:hdr>
</file>

<file path=word/settings.xml><?xml version="1.0" encoding="utf-8"?>
<w:settings xmlns:w="http://schemas.openxmlformats.org/wordprocessingml/2006/main">
  <w:zoom w:percent="10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ro-RO"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start"/>
      <w:textAlignment w:val="auto"/>
    </w:pPr>
    <w:rPr>
      <w:rFonts w:ascii="Calibri" w:hAnsi="Calibri" w:eastAsia="Times New Roman" w:cs="Times New Roman"/>
      <w:color w:val="auto"/>
      <w:kern w:val="2"/>
      <w:sz w:val="22"/>
      <w:szCs w:val="22"/>
      <w:lang w:val="en-US" w:eastAsia="en-US" w:bidi="ar-SA"/>
    </w:rPr>
  </w:style>
  <w:style w:type="character" w:styleId="DefaultParagraphFont">
    <w:name w:val="Default Paragraph Font"/>
    <w:qFormat/>
    <w:rPr/>
  </w:style>
  <w:style w:type="character" w:styleId="HeaderChar">
    <w:name w:val="Header Char"/>
    <w:basedOn w:val="DefaultParagraphFont"/>
    <w:qFormat/>
    <w:rPr>
      <w:rFonts w:cs="Times New Roman"/>
    </w:rPr>
  </w:style>
  <w:style w:type="character" w:styleId="FooterChar">
    <w:name w:val="Footer Char"/>
    <w:basedOn w:val="DefaultParagraphFont"/>
    <w:qFormat/>
    <w:rPr>
      <w:rFonts w:cs="Times New Roman"/>
    </w:rPr>
  </w:style>
  <w:style w:type="character" w:styleId="Hyperlink">
    <w:name w:val="Hyperlink"/>
    <w:basedOn w:val="DefaultParagraphFont"/>
    <w:rPr>
      <w:rFonts w:cs="Times New Roman"/>
      <w:color w:val="0000FF"/>
      <w:u w:val="single"/>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Table">
    <w:name w:val="Normal Table"/>
    <w:qFormat/>
    <w:pPr>
      <w:widowControl/>
      <w:bidi w:val="0"/>
      <w:spacing w:lineRule="auto" w:line="276" w:before="0" w:after="200"/>
      <w:jc w:val="start"/>
      <w:textAlignment w:val="auto"/>
    </w:pPr>
    <w:rPr>
      <w:rFonts w:ascii="Calibri" w:hAnsi="Calibri" w:eastAsia="Times New Roman" w:cs="Times New Roman"/>
      <w:color w:val="auto"/>
      <w:kern w:val="2"/>
      <w:sz w:val="22"/>
      <w:szCs w:val="22"/>
      <w:lang w:val="en-GB" w:eastAsia="en-GB" w:bidi="ar-SA"/>
    </w:rPr>
  </w:style>
  <w:style w:type="paragraph" w:styleId="HeaderandFooter">
    <w:name w:val="Header and Footer"/>
    <w:basedOn w:val="Normal"/>
    <w:qFormat/>
    <w:pPr/>
    <w:rPr/>
  </w:style>
  <w:style w:type="paragraph" w:styleId="Header">
    <w:name w:val="header"/>
    <w:basedOn w:val="Normal"/>
    <w:pPr>
      <w:widowControl/>
      <w:tabs>
        <w:tab w:val="clear" w:pos="720"/>
        <w:tab w:val="center" w:pos="4703" w:leader="none"/>
        <w:tab w:val="right" w:pos="9406" w:leader="none"/>
      </w:tabs>
      <w:spacing w:lineRule="auto" w:line="276" w:before="0" w:after="200"/>
      <w:ind w:hanging="0" w:start="0" w:end="0"/>
      <w:jc w:val="start"/>
      <w:textAlignment w:val="auto"/>
    </w:pPr>
    <w:rPr>
      <w:rFonts w:ascii="Calibri" w:hAnsi="Calibri" w:eastAsia="Times New Roman" w:cs="Times New Roman"/>
      <w:sz w:val="22"/>
      <w:szCs w:val="22"/>
      <w:lang w:val="en-US" w:eastAsia="en-US" w:bidi="ar-SA"/>
    </w:rPr>
  </w:style>
  <w:style w:type="paragraph" w:styleId="Footer">
    <w:name w:val="footer"/>
    <w:basedOn w:val="Normal"/>
    <w:pPr>
      <w:widowControl/>
      <w:tabs>
        <w:tab w:val="clear" w:pos="720"/>
        <w:tab w:val="center" w:pos="4703" w:leader="none"/>
        <w:tab w:val="right" w:pos="9406" w:leader="none"/>
      </w:tabs>
      <w:spacing w:lineRule="auto" w:line="276" w:before="0" w:after="200"/>
      <w:ind w:hanging="0" w:start="0" w:end="0"/>
      <w:jc w:val="start"/>
      <w:textAlignment w:val="auto"/>
    </w:pPr>
    <w:rPr>
      <w:rFonts w:ascii="Calibri" w:hAnsi="Calibri" w:eastAsia="Times New Roman" w:cs="Times New Roman"/>
      <w:sz w:val="22"/>
      <w:szCs w:val="22"/>
      <w:lang w:val="en-US" w:eastAsia="en-US" w:bidi="ar-SA"/>
    </w:rPr>
  </w:style>
  <w:style w:type="paragraph" w:styleId="TableGrid">
    <w:name w:val="Table Grid"/>
    <w:basedOn w:val="NormalTable"/>
    <w:qFormat/>
    <w:pPr>
      <w:widowControl/>
      <w:pBdr/>
      <w:spacing w:lineRule="auto" w:line="240" w:before="0" w:after="0"/>
      <w:ind w:hanging="0" w:start="0" w:end="0"/>
      <w:jc w:val="start"/>
      <w:textAlignment w:val="auto"/>
    </w:pPr>
    <w:rPr>
      <w:rFonts w:ascii="Calibri" w:hAnsi="Calibri" w:eastAsia="Times New Roman" w:cs="Times New Roman"/>
      <w:sz w:val="22"/>
      <w:szCs w:val="22"/>
      <w:lang w:val="en-US" w:eastAsia="en-US" w:bidi="ar-SA"/>
    </w:rPr>
  </w:style>
  <w:style w:type="paragraph" w:styleId="yiv0813044679msonormal">
    <w:name w:val="yiv0813044679msonormal"/>
    <w:basedOn w:val="Normal"/>
    <w:qFormat/>
    <w:pPr>
      <w:widowControl/>
      <w:spacing w:lineRule="auto" w:line="240" w:beforeAutospacing="1" w:afterAutospacing="1"/>
      <w:ind w:hanging="0" w:start="0" w:end="0"/>
      <w:jc w:val="start"/>
      <w:textAlignment w:val="auto"/>
    </w:pPr>
    <w:rPr>
      <w:rFonts w:ascii="Times New Roman" w:hAnsi="Times New Roman" w:eastAsia="Times New Roman" w:cs="Times New Roman"/>
      <w:sz w:val="24"/>
      <w:szCs w:val="24"/>
      <w:lang w:val="en-US" w:eastAsia="en-US" w:bidi="ar-SA"/>
    </w:rPr>
  </w:style>
  <w:style w:type="paragraph" w:styleId="NormalWeb">
    <w:name w:val="Normal (Web)"/>
    <w:basedOn w:val="Normal"/>
    <w:qFormat/>
    <w:pPr>
      <w:widowControl/>
      <w:spacing w:lineRule="auto" w:line="240" w:beforeAutospacing="1" w:afterAutospacing="1"/>
      <w:ind w:hanging="0" w:start="0" w:end="0"/>
      <w:jc w:val="start"/>
      <w:textAlignment w:val="auto"/>
    </w:pPr>
    <w:rPr>
      <w:rFonts w:ascii="Times New Roman" w:hAnsi="Times New Roman" w:eastAsia="Times New Roman" w:cs="Times New Roman"/>
      <w:sz w:val="24"/>
      <w:szCs w:val="24"/>
      <w:lang w:val="en-US" w:eastAsia="en-US" w:bidi="ar-SA"/>
    </w:rPr>
  </w:style>
  <w:style w:type="paragraph" w:styleId="Default">
    <w:name w:val="Default"/>
    <w:qFormat/>
    <w:pPr>
      <w:widowControl/>
      <w:bidi w:val="0"/>
      <w:jc w:val="start"/>
      <w:textAlignment w:val="auto"/>
    </w:pPr>
    <w:rPr>
      <w:rFonts w:ascii="Aptos" w:hAnsi="Aptos" w:eastAsia="Times New Roman" w:cs="Aptos"/>
      <w:color w:val="000000"/>
      <w:kern w:val="2"/>
      <w:sz w:val="24"/>
      <w:szCs w:val="24"/>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office@rrajuznibanat.rs" TargetMode="External"/>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office@rrajuznibanat.rs" TargetMode="Externa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LibreOffice/26.2.3.2$MacOSX_X86_64 LibreOffice_project/70e089b17412e4cb7773e41413306b17a2328c34</Application>
  <AppVersion>15.0000</AppVersion>
  <Pages>4</Pages>
  <Words>3116</Words>
  <Characters>18785</Characters>
  <CharactersWithSpaces>21821</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2020-03-12T07:57:00Z</dcterms:created>
  <dc:creator/>
  <dc:description/>
  <dc:language>ro-RO</dc:language>
  <cp:lastModifiedBy/>
  <dcterms:modified xsi:type="dcterms:W3CDTF">2026-05-15T15:17:00Z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RRAJuzniBanat3</vt:lpwstr>
  </property>
</Properties>
</file>