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155" w:rsidRPr="00E725FE" w:rsidRDefault="00641155" w:rsidP="00641155">
      <w:pPr>
        <w:pStyle w:val="oddl-nadpis"/>
        <w:widowControl/>
        <w:jc w:val="center"/>
        <w:rPr>
          <w:rFonts w:ascii="Times New Roman" w:hAnsi="Times New Roman"/>
          <w:color w:val="000000"/>
          <w:szCs w:val="24"/>
          <w:lang w:val="en-GB"/>
        </w:rPr>
      </w:pPr>
      <w:permStart w:id="0" w:edGrp="everyone"/>
      <w:permEnd w:id="0"/>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w:t>
      </w:r>
    </w:p>
    <w:p w:rsidR="00641155" w:rsidRPr="00E725FE" w:rsidRDefault="00641155" w:rsidP="00641155">
      <w:pPr>
        <w:jc w:val="both"/>
        <w:rPr>
          <w:sz w:val="22"/>
          <w:szCs w:val="22"/>
        </w:rPr>
      </w:pPr>
    </w:p>
    <w:p w:rsidR="00B47C07" w:rsidRPr="00E725FE" w:rsidRDefault="00641155" w:rsidP="00B47C07">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r w:rsidRPr="00E725FE">
        <w:rPr>
          <w:sz w:val="22"/>
          <w:szCs w:val="22"/>
        </w:rPr>
        <w:tab/>
      </w:r>
    </w:p>
    <w:p w:rsidR="00641155" w:rsidRPr="00E725FE" w:rsidRDefault="00641155" w:rsidP="00641155">
      <w:pPr>
        <w:ind w:left="720" w:hanging="720"/>
        <w:jc w:val="both"/>
        <w:rPr>
          <w:sz w:val="22"/>
          <w:szCs w:val="22"/>
        </w:rPr>
      </w:pP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 4.3.2</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uantities</w:t>
      </w:r>
      <w:r w:rsidR="00B47C07">
        <w:rPr>
          <w:sz w:val="22"/>
          <w:szCs w:val="22"/>
        </w:rPr>
        <w:t xml:space="preserve"> do not</w:t>
      </w:r>
      <w:r w:rsidR="0081433E" w:rsidRPr="0081433E">
        <w:rPr>
          <w:sz w:val="22"/>
          <w:szCs w:val="22"/>
        </w:rPr>
        <w:t xml:space="preserve"> include any non-exonerated tax or fiscal duty</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641155" w:rsidRPr="00E725FE" w:rsidRDefault="00844C76" w:rsidP="00B47C07">
      <w:pPr>
        <w:ind w:left="720" w:hanging="720"/>
        <w:jc w:val="both"/>
        <w:rPr>
          <w:sz w:val="22"/>
          <w:szCs w:val="22"/>
        </w:rPr>
      </w:pPr>
      <w:r>
        <w:rPr>
          <w:sz w:val="22"/>
          <w:szCs w:val="22"/>
        </w:rPr>
        <w:t>2.5</w:t>
      </w:r>
      <w:r>
        <w:rPr>
          <w:sz w:val="22"/>
          <w:szCs w:val="22"/>
        </w:rPr>
        <w:tab/>
      </w:r>
      <w:r w:rsidR="00641155" w:rsidRPr="00E725FE">
        <w:rPr>
          <w:sz w:val="22"/>
          <w:szCs w:val="22"/>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B47C07" w:rsidP="00B47C07">
      <w:pPr>
        <w:tabs>
          <w:tab w:val="left" w:pos="3969"/>
        </w:tabs>
        <w:jc w:val="center"/>
        <w:rPr>
          <w:b/>
          <w:sz w:val="22"/>
          <w:szCs w:val="22"/>
        </w:rPr>
      </w:pPr>
      <w:r w:rsidRPr="00E725FE">
        <w:rPr>
          <w:b/>
          <w:sz w:val="22"/>
          <w:szCs w:val="22"/>
        </w:rPr>
        <w:t xml:space="preserve"> </w:t>
      </w:r>
    </w:p>
    <w:p w:rsidR="00214319" w:rsidRPr="00E725FE" w:rsidRDefault="00214319">
      <w:pPr>
        <w:jc w:val="both"/>
        <w:rPr>
          <w:b/>
          <w:sz w:val="22"/>
          <w:szCs w:val="22"/>
        </w:rPr>
      </w:pPr>
    </w:p>
    <w:sectPr w:rsidR="00214319" w:rsidRPr="00E725FE" w:rsidSect="003F19B7">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B7D" w:rsidRPr="00E725FE" w:rsidRDefault="00163B7D">
      <w:r w:rsidRPr="00E725FE">
        <w:separator/>
      </w:r>
    </w:p>
  </w:endnote>
  <w:endnote w:type="continuationSeparator" w:id="1">
    <w:p w:rsidR="00163B7D" w:rsidRPr="00E725FE" w:rsidRDefault="00163B7D">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Default="00FD346D">
    <w:pPr>
      <w:pStyle w:val="Footer"/>
      <w:framePr w:wrap="around" w:vAnchor="text" w:hAnchor="margin" w:xAlign="right" w:y="1"/>
      <w:rPr>
        <w:rStyle w:val="PageNumber"/>
      </w:rPr>
    </w:pPr>
    <w:r>
      <w:rPr>
        <w:rStyle w:val="PageNumber"/>
      </w:rPr>
      <w:fldChar w:fldCharType="begin"/>
    </w:r>
    <w:r w:rsidR="003F19B7">
      <w:rPr>
        <w:rStyle w:val="PageNumber"/>
      </w:rPr>
      <w:instrText xml:space="preserve">PAGE  </w:instrText>
    </w:r>
    <w:r>
      <w:rPr>
        <w:rStyle w:val="PageNumber"/>
      </w:rPr>
      <w:fldChar w:fldCharType="separate"/>
    </w:r>
    <w:r w:rsidR="003F19B7">
      <w:rPr>
        <w:rStyle w:val="PageNumber"/>
        <w:noProof/>
      </w:rPr>
      <w:t>2</w:t>
    </w:r>
    <w:r>
      <w:rPr>
        <w:rStyle w:val="PageNumber"/>
      </w:rPr>
      <w:fldChar w:fldCharType="end"/>
    </w:r>
  </w:p>
  <w:p w:rsidR="003F19B7" w:rsidRDefault="003F19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C07" w:rsidRPr="00E725FE" w:rsidRDefault="00B47C07" w:rsidP="00B47C0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2</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2</w:t>
    </w:r>
    <w:r w:rsidRPr="00E725FE">
      <w:rPr>
        <w:rStyle w:val="PageNumber"/>
        <w:sz w:val="18"/>
        <w:szCs w:val="18"/>
      </w:rPr>
      <w:fldChar w:fldCharType="end"/>
    </w:r>
    <w:r w:rsidRPr="00E725FE">
      <w:rPr>
        <w:rStyle w:val="PageNumber"/>
        <w:b/>
        <w:sz w:val="18"/>
        <w:szCs w:val="18"/>
      </w:rPr>
      <w:tab/>
    </w:r>
  </w:p>
  <w:p w:rsidR="003F19B7" w:rsidRPr="00B47C07" w:rsidRDefault="00B47C07" w:rsidP="00B47C07">
    <w:pPr>
      <w:pStyle w:val="Footer"/>
      <w:rPr>
        <w:szCs w:val="18"/>
      </w:rPr>
    </w:pPr>
    <w:r w:rsidRPr="003F19B7">
      <w:rPr>
        <w:sz w:val="18"/>
        <w:szCs w:val="18"/>
      </w:rPr>
      <w:fldChar w:fldCharType="begin"/>
    </w:r>
    <w:r w:rsidRPr="003F19B7">
      <w:rPr>
        <w:sz w:val="18"/>
        <w:szCs w:val="18"/>
      </w:rPr>
      <w:instrText xml:space="preserve"> FILENAME </w:instrText>
    </w:r>
    <w:r w:rsidRPr="003F19B7">
      <w:rPr>
        <w:sz w:val="18"/>
        <w:szCs w:val="18"/>
      </w:rPr>
      <w:fldChar w:fldCharType="separate"/>
    </w:r>
    <w:r>
      <w:rPr>
        <w:noProof/>
        <w:sz w:val="18"/>
        <w:szCs w:val="18"/>
      </w:rPr>
      <w:t>d4x_finoffer_4.3_en.doc</w:t>
    </w:r>
    <w:r w:rsidRPr="003F19B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FD346D" w:rsidRPr="00E725FE">
      <w:rPr>
        <w:rStyle w:val="PageNumber"/>
        <w:sz w:val="18"/>
        <w:szCs w:val="18"/>
      </w:rPr>
      <w:fldChar w:fldCharType="begin"/>
    </w:r>
    <w:r w:rsidR="003F19B7" w:rsidRPr="00E725FE">
      <w:rPr>
        <w:rStyle w:val="PageNumber"/>
        <w:sz w:val="18"/>
        <w:szCs w:val="18"/>
      </w:rPr>
      <w:instrText xml:space="preserve"> PAGE </w:instrText>
    </w:r>
    <w:r w:rsidR="00FD346D" w:rsidRPr="00E725FE">
      <w:rPr>
        <w:rStyle w:val="PageNumber"/>
        <w:sz w:val="18"/>
        <w:szCs w:val="18"/>
      </w:rPr>
      <w:fldChar w:fldCharType="separate"/>
    </w:r>
    <w:r w:rsidR="00B47C07">
      <w:rPr>
        <w:rStyle w:val="PageNumber"/>
        <w:noProof/>
        <w:sz w:val="18"/>
        <w:szCs w:val="18"/>
      </w:rPr>
      <w:t>1</w:t>
    </w:r>
    <w:r w:rsidR="00FD346D" w:rsidRPr="00E725FE">
      <w:rPr>
        <w:rStyle w:val="PageNumber"/>
        <w:sz w:val="18"/>
        <w:szCs w:val="18"/>
      </w:rPr>
      <w:fldChar w:fldCharType="end"/>
    </w:r>
    <w:r w:rsidR="003F19B7" w:rsidRPr="00E725FE">
      <w:rPr>
        <w:rStyle w:val="PageNumber"/>
        <w:sz w:val="18"/>
        <w:szCs w:val="18"/>
      </w:rPr>
      <w:t xml:space="preserve"> of </w:t>
    </w:r>
    <w:r w:rsidR="00FD346D" w:rsidRPr="00E725FE">
      <w:rPr>
        <w:rStyle w:val="PageNumber"/>
        <w:sz w:val="18"/>
        <w:szCs w:val="18"/>
      </w:rPr>
      <w:fldChar w:fldCharType="begin"/>
    </w:r>
    <w:r w:rsidR="003F19B7" w:rsidRPr="00E725FE">
      <w:rPr>
        <w:rStyle w:val="PageNumber"/>
        <w:sz w:val="18"/>
        <w:szCs w:val="18"/>
      </w:rPr>
      <w:instrText xml:space="preserve"> NUMPAGES </w:instrText>
    </w:r>
    <w:r w:rsidR="00FD346D" w:rsidRPr="00E725FE">
      <w:rPr>
        <w:rStyle w:val="PageNumber"/>
        <w:sz w:val="18"/>
        <w:szCs w:val="18"/>
      </w:rPr>
      <w:fldChar w:fldCharType="separate"/>
    </w:r>
    <w:r w:rsidR="00B47C07">
      <w:rPr>
        <w:rStyle w:val="PageNumber"/>
        <w:noProof/>
        <w:sz w:val="18"/>
        <w:szCs w:val="18"/>
      </w:rPr>
      <w:t>2</w:t>
    </w:r>
    <w:r w:rsidR="00FD346D" w:rsidRPr="00E725FE">
      <w:rPr>
        <w:rStyle w:val="PageNumber"/>
        <w:sz w:val="18"/>
        <w:szCs w:val="18"/>
      </w:rPr>
      <w:fldChar w:fldCharType="end"/>
    </w:r>
    <w:r w:rsidR="003F19B7" w:rsidRPr="00E725FE">
      <w:rPr>
        <w:rStyle w:val="PageNumber"/>
        <w:b/>
        <w:sz w:val="18"/>
        <w:szCs w:val="18"/>
      </w:rPr>
      <w:tab/>
    </w:r>
  </w:p>
  <w:p w:rsidR="003F19B7" w:rsidRPr="003F19B7" w:rsidRDefault="00FD346D" w:rsidP="003F19B7">
    <w:pPr>
      <w:pStyle w:val="Footer"/>
      <w:tabs>
        <w:tab w:val="clear" w:pos="4320"/>
      </w:tabs>
    </w:pPr>
    <w:r w:rsidRPr="003F19B7">
      <w:rPr>
        <w:sz w:val="18"/>
        <w:szCs w:val="18"/>
      </w:rPr>
      <w:fldChar w:fldCharType="begin"/>
    </w:r>
    <w:r w:rsidR="003F19B7"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B7D" w:rsidRPr="00E725FE" w:rsidRDefault="00163B7D">
      <w:r w:rsidRPr="00E725FE">
        <w:separator/>
      </w:r>
    </w:p>
  </w:footnote>
  <w:footnote w:type="continuationSeparator" w:id="1">
    <w:p w:rsidR="00163B7D" w:rsidRPr="00E725FE" w:rsidRDefault="00163B7D">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Default="003F19B7"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63B7D"/>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47C07"/>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D346D"/>
    <w:rsid w:val="00FE0AAA"/>
    <w:rsid w:val="00FE6C9F"/>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46D"/>
    <w:rPr>
      <w:snapToGrid w:val="0"/>
      <w:sz w:val="24"/>
      <w:lang w:eastAsia="en-US"/>
    </w:rPr>
  </w:style>
  <w:style w:type="paragraph" w:styleId="Heading1">
    <w:name w:val="heading 1"/>
    <w:basedOn w:val="Normal"/>
    <w:next w:val="Normal"/>
    <w:qFormat/>
    <w:rsid w:val="00FD346D"/>
    <w:pPr>
      <w:keepNext/>
      <w:jc w:val="center"/>
      <w:outlineLvl w:val="0"/>
    </w:pPr>
    <w:rPr>
      <w:rFonts w:ascii="Arial" w:hAnsi="Arial"/>
      <w:b/>
      <w:color w:val="FF0000"/>
      <w:sz w:val="28"/>
    </w:rPr>
  </w:style>
  <w:style w:type="paragraph" w:styleId="Heading2">
    <w:name w:val="heading 2"/>
    <w:basedOn w:val="Normal"/>
    <w:next w:val="Normal"/>
    <w:link w:val="Heading2Char"/>
    <w:qFormat/>
    <w:rsid w:val="00FD346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FD346D"/>
    <w:pPr>
      <w:keepNext/>
      <w:jc w:val="center"/>
      <w:outlineLvl w:val="2"/>
    </w:pPr>
    <w:rPr>
      <w:rFonts w:ascii="Arial" w:hAnsi="Arial"/>
      <w:b/>
      <w:color w:val="FF0000"/>
      <w:sz w:val="36"/>
    </w:rPr>
  </w:style>
  <w:style w:type="paragraph" w:styleId="Heading4">
    <w:name w:val="heading 4"/>
    <w:basedOn w:val="Normal"/>
    <w:next w:val="Normal"/>
    <w:qFormat/>
    <w:rsid w:val="00FD346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FD346D"/>
    <w:pPr>
      <w:keepNext/>
      <w:jc w:val="both"/>
      <w:outlineLvl w:val="4"/>
    </w:pPr>
    <w:rPr>
      <w:rFonts w:ascii="Arial" w:hAnsi="Arial"/>
      <w:b/>
      <w:sz w:val="20"/>
    </w:rPr>
  </w:style>
  <w:style w:type="paragraph" w:styleId="Heading7">
    <w:name w:val="heading 7"/>
    <w:basedOn w:val="Normal"/>
    <w:next w:val="Normal"/>
    <w:qFormat/>
    <w:rsid w:val="00FD346D"/>
    <w:pPr>
      <w:keepNext/>
      <w:jc w:val="center"/>
      <w:outlineLvl w:val="6"/>
    </w:pPr>
    <w:rPr>
      <w:rFonts w:ascii="Arial" w:hAnsi="Arial"/>
      <w:b/>
      <w:color w:val="008000"/>
      <w:sz w:val="32"/>
    </w:rPr>
  </w:style>
  <w:style w:type="paragraph" w:styleId="Heading8">
    <w:name w:val="heading 8"/>
    <w:basedOn w:val="Normal"/>
    <w:next w:val="Normal"/>
    <w:qFormat/>
    <w:rsid w:val="00FD346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D346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D346D"/>
    <w:pPr>
      <w:widowControl w:val="0"/>
      <w:spacing w:before="60" w:line="240" w:lineRule="exact"/>
      <w:jc w:val="both"/>
    </w:pPr>
    <w:rPr>
      <w:rFonts w:ascii="Arial" w:hAnsi="Arial"/>
      <w:lang w:val="cs-CZ"/>
    </w:rPr>
  </w:style>
  <w:style w:type="paragraph" w:customStyle="1" w:styleId="1zanoren">
    <w:name w:val="1.zanorení"/>
    <w:basedOn w:val="text-3mezera"/>
    <w:rsid w:val="00FD346D"/>
    <w:pPr>
      <w:ind w:left="2127" w:hanging="1418"/>
    </w:pPr>
  </w:style>
  <w:style w:type="paragraph" w:customStyle="1" w:styleId="2zanoren">
    <w:name w:val="2.zanorení"/>
    <w:basedOn w:val="text-3mezera"/>
    <w:rsid w:val="00FD346D"/>
    <w:pPr>
      <w:ind w:left="3402" w:hanging="1278"/>
    </w:pPr>
  </w:style>
  <w:style w:type="paragraph" w:customStyle="1" w:styleId="bulletsub">
    <w:name w:val="bullet_sub"/>
    <w:basedOn w:val="Normal"/>
    <w:rsid w:val="00FD34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D346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D346D"/>
    <w:pPr>
      <w:tabs>
        <w:tab w:val="left" w:pos="400"/>
        <w:tab w:val="left" w:pos="851"/>
        <w:tab w:val="left" w:pos="1701"/>
        <w:tab w:val="right" w:leader="hyphen" w:pos="9062"/>
      </w:tabs>
    </w:pPr>
    <w:rPr>
      <w:i/>
      <w:noProof/>
      <w:sz w:val="22"/>
    </w:rPr>
  </w:style>
  <w:style w:type="paragraph" w:customStyle="1" w:styleId="bullet-3">
    <w:name w:val="bullet-3"/>
    <w:basedOn w:val="Normal"/>
    <w:rsid w:val="00FD346D"/>
    <w:pPr>
      <w:widowControl w:val="0"/>
      <w:spacing w:before="240" w:line="240" w:lineRule="exact"/>
      <w:ind w:left="2212" w:hanging="284"/>
      <w:jc w:val="both"/>
    </w:pPr>
    <w:rPr>
      <w:rFonts w:ascii="Arial" w:hAnsi="Arial"/>
      <w:lang w:val="cs-CZ"/>
    </w:rPr>
  </w:style>
  <w:style w:type="paragraph" w:styleId="Footer">
    <w:name w:val="footer"/>
    <w:basedOn w:val="Normal"/>
    <w:rsid w:val="00FD346D"/>
    <w:pPr>
      <w:tabs>
        <w:tab w:val="center" w:pos="4320"/>
        <w:tab w:val="right" w:pos="8640"/>
      </w:tabs>
    </w:pPr>
  </w:style>
  <w:style w:type="paragraph" w:styleId="Header">
    <w:name w:val="header"/>
    <w:basedOn w:val="Normal"/>
    <w:rsid w:val="00FD346D"/>
    <w:pPr>
      <w:tabs>
        <w:tab w:val="center" w:pos="4536"/>
        <w:tab w:val="right" w:pos="9072"/>
      </w:tabs>
    </w:pPr>
    <w:rPr>
      <w:rFonts w:ascii="Arial" w:hAnsi="Arial"/>
      <w:sz w:val="20"/>
    </w:rPr>
  </w:style>
  <w:style w:type="paragraph" w:styleId="BodyTextIndent">
    <w:name w:val="Body Text Indent"/>
    <w:basedOn w:val="Normal"/>
    <w:rsid w:val="00FD346D"/>
    <w:pPr>
      <w:jc w:val="both"/>
    </w:pPr>
    <w:rPr>
      <w:sz w:val="22"/>
    </w:rPr>
  </w:style>
  <w:style w:type="paragraph" w:styleId="BodyText">
    <w:name w:val="Body Text"/>
    <w:basedOn w:val="Normal"/>
    <w:rsid w:val="00FD346D"/>
    <w:pPr>
      <w:jc w:val="both"/>
    </w:pPr>
    <w:rPr>
      <w:rFonts w:ascii="Arial" w:hAnsi="Arial"/>
      <w:sz w:val="20"/>
    </w:rPr>
  </w:style>
  <w:style w:type="paragraph" w:styleId="NormalIndent">
    <w:name w:val="Normal Indent"/>
    <w:basedOn w:val="Normal"/>
    <w:rsid w:val="00FD346D"/>
    <w:pPr>
      <w:ind w:left="708"/>
    </w:pPr>
    <w:rPr>
      <w:rFonts w:ascii="Arial" w:hAnsi="Arial"/>
      <w:sz w:val="20"/>
    </w:rPr>
  </w:style>
  <w:style w:type="paragraph" w:customStyle="1" w:styleId="tabulka">
    <w:name w:val="tabulka"/>
    <w:basedOn w:val="text-3mezera"/>
    <w:rsid w:val="00FD346D"/>
    <w:pPr>
      <w:spacing w:before="120"/>
      <w:jc w:val="center"/>
    </w:pPr>
    <w:rPr>
      <w:sz w:val="20"/>
    </w:rPr>
  </w:style>
  <w:style w:type="paragraph" w:styleId="FootnoteText">
    <w:name w:val="footnote text"/>
    <w:basedOn w:val="Normal"/>
    <w:semiHidden/>
    <w:rsid w:val="00FD346D"/>
    <w:rPr>
      <w:sz w:val="20"/>
    </w:rPr>
  </w:style>
  <w:style w:type="character" w:styleId="Hyperlink">
    <w:name w:val="Hyperlink"/>
    <w:rsid w:val="00FD346D"/>
    <w:rPr>
      <w:color w:val="0000FF"/>
      <w:u w:val="single"/>
    </w:rPr>
  </w:style>
  <w:style w:type="paragraph" w:customStyle="1" w:styleId="Volume">
    <w:name w:val="Volume"/>
    <w:basedOn w:val="text"/>
    <w:next w:val="Section"/>
    <w:rsid w:val="00FD346D"/>
    <w:pPr>
      <w:pageBreakBefore/>
      <w:spacing w:before="360" w:line="360" w:lineRule="exact"/>
      <w:jc w:val="center"/>
    </w:pPr>
    <w:rPr>
      <w:b/>
      <w:sz w:val="36"/>
    </w:rPr>
  </w:style>
  <w:style w:type="paragraph" w:customStyle="1" w:styleId="text">
    <w:name w:val="text"/>
    <w:rsid w:val="00FD34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D346D"/>
    <w:pPr>
      <w:pageBreakBefore w:val="0"/>
      <w:spacing w:before="0"/>
    </w:pPr>
    <w:rPr>
      <w:sz w:val="32"/>
    </w:rPr>
  </w:style>
  <w:style w:type="paragraph" w:customStyle="1" w:styleId="textcslovan">
    <w:name w:val="text císlovaný"/>
    <w:basedOn w:val="text"/>
    <w:rsid w:val="00FD346D"/>
    <w:pPr>
      <w:ind w:left="567" w:hanging="567"/>
    </w:pPr>
  </w:style>
  <w:style w:type="paragraph" w:customStyle="1" w:styleId="Nadpis-STRANA">
    <w:name w:val="Nadpis - STRANA"/>
    <w:basedOn w:val="text"/>
    <w:next w:val="Volume"/>
    <w:rsid w:val="00FD346D"/>
    <w:pPr>
      <w:pageBreakBefore/>
      <w:spacing w:before="5040" w:line="520" w:lineRule="exact"/>
      <w:jc w:val="center"/>
    </w:pPr>
    <w:rPr>
      <w:b/>
      <w:sz w:val="36"/>
    </w:rPr>
  </w:style>
  <w:style w:type="character" w:styleId="FootnoteReference">
    <w:name w:val="footnote reference"/>
    <w:semiHidden/>
    <w:rsid w:val="00FD346D"/>
    <w:rPr>
      <w:vertAlign w:val="superscript"/>
    </w:rPr>
  </w:style>
  <w:style w:type="character" w:styleId="PageNumber">
    <w:name w:val="page number"/>
    <w:basedOn w:val="DefaultParagraphFont"/>
    <w:rsid w:val="00FD346D"/>
  </w:style>
  <w:style w:type="paragraph" w:styleId="PlainText">
    <w:name w:val="Plain Text"/>
    <w:basedOn w:val="Normal"/>
    <w:rsid w:val="00FD346D"/>
    <w:rPr>
      <w:rFonts w:ascii="Courier New" w:hAnsi="Courier New"/>
      <w:sz w:val="20"/>
    </w:rPr>
  </w:style>
  <w:style w:type="character" w:styleId="FollowedHyperlink">
    <w:name w:val="FollowedHyperlink"/>
    <w:rsid w:val="00FD346D"/>
    <w:rPr>
      <w:color w:val="800080"/>
      <w:u w:val="single"/>
    </w:rPr>
  </w:style>
  <w:style w:type="paragraph" w:customStyle="1" w:styleId="Blockquote">
    <w:name w:val="Blockquote"/>
    <w:basedOn w:val="Normal"/>
    <w:rsid w:val="00FD346D"/>
    <w:pPr>
      <w:widowControl w:val="0"/>
      <w:spacing w:before="100" w:after="100"/>
      <w:ind w:left="360" w:right="360"/>
    </w:pPr>
  </w:style>
  <w:style w:type="paragraph" w:customStyle="1" w:styleId="Text1">
    <w:name w:val="Text 1"/>
    <w:basedOn w:val="Normal"/>
    <w:rsid w:val="00FD346D"/>
    <w:pPr>
      <w:spacing w:before="120" w:after="120"/>
      <w:ind w:left="851"/>
      <w:jc w:val="both"/>
    </w:pPr>
  </w:style>
  <w:style w:type="paragraph" w:customStyle="1" w:styleId="ManualNumPar1">
    <w:name w:val="Manual NumPar 1"/>
    <w:basedOn w:val="Normal"/>
    <w:next w:val="Text1"/>
    <w:rsid w:val="00FD346D"/>
    <w:pPr>
      <w:spacing w:before="120" w:after="120"/>
      <w:ind w:left="851" w:hanging="851"/>
      <w:jc w:val="both"/>
    </w:pPr>
  </w:style>
  <w:style w:type="paragraph" w:customStyle="1" w:styleId="Point1">
    <w:name w:val="Point 1"/>
    <w:basedOn w:val="Normal"/>
    <w:rsid w:val="00FD346D"/>
    <w:pPr>
      <w:spacing w:before="120" w:after="120"/>
      <w:ind w:left="1418" w:hanging="567"/>
      <w:jc w:val="both"/>
    </w:pPr>
  </w:style>
  <w:style w:type="paragraph" w:styleId="Subtitle">
    <w:name w:val="Subtitle"/>
    <w:basedOn w:val="Normal"/>
    <w:qFormat/>
    <w:rsid w:val="00FD346D"/>
    <w:pPr>
      <w:spacing w:before="120" w:after="120"/>
      <w:jc w:val="center"/>
    </w:pPr>
    <w:rPr>
      <w:rFonts w:ascii="Arial" w:hAnsi="Arial"/>
      <w:b/>
      <w:sz w:val="28"/>
      <w:lang w:val="fr-BE"/>
    </w:rPr>
  </w:style>
  <w:style w:type="paragraph" w:styleId="Title">
    <w:name w:val="Title"/>
    <w:basedOn w:val="Normal"/>
    <w:qFormat/>
    <w:rsid w:val="00FD346D"/>
    <w:pPr>
      <w:spacing w:before="120" w:after="120"/>
      <w:jc w:val="center"/>
    </w:pPr>
    <w:rPr>
      <w:rFonts w:ascii="Arial" w:hAnsi="Arial"/>
      <w:b/>
      <w:sz w:val="28"/>
      <w:lang w:val="fr-BE"/>
    </w:rPr>
  </w:style>
  <w:style w:type="paragraph" w:styleId="TOC3">
    <w:name w:val="toc 3"/>
    <w:basedOn w:val="Normal"/>
    <w:next w:val="Normal"/>
    <w:autoRedefine/>
    <w:semiHidden/>
    <w:rsid w:val="00FD346D"/>
    <w:pPr>
      <w:ind w:left="480"/>
    </w:pPr>
  </w:style>
  <w:style w:type="paragraph" w:styleId="TOC4">
    <w:name w:val="toc 4"/>
    <w:basedOn w:val="Normal"/>
    <w:next w:val="Normal"/>
    <w:autoRedefine/>
    <w:semiHidden/>
    <w:rsid w:val="00FD346D"/>
    <w:pPr>
      <w:ind w:left="720"/>
    </w:pPr>
  </w:style>
  <w:style w:type="paragraph" w:styleId="TOC5">
    <w:name w:val="toc 5"/>
    <w:basedOn w:val="Normal"/>
    <w:next w:val="Normal"/>
    <w:autoRedefine/>
    <w:semiHidden/>
    <w:rsid w:val="00FD346D"/>
    <w:pPr>
      <w:ind w:left="960"/>
    </w:pPr>
  </w:style>
  <w:style w:type="paragraph" w:styleId="TOC6">
    <w:name w:val="toc 6"/>
    <w:basedOn w:val="Normal"/>
    <w:next w:val="Normal"/>
    <w:autoRedefine/>
    <w:semiHidden/>
    <w:rsid w:val="00FD346D"/>
    <w:pPr>
      <w:ind w:left="1200"/>
    </w:pPr>
  </w:style>
  <w:style w:type="paragraph" w:styleId="TOC7">
    <w:name w:val="toc 7"/>
    <w:basedOn w:val="Normal"/>
    <w:next w:val="Normal"/>
    <w:autoRedefine/>
    <w:semiHidden/>
    <w:rsid w:val="00FD346D"/>
    <w:pPr>
      <w:ind w:left="1440"/>
    </w:pPr>
  </w:style>
  <w:style w:type="paragraph" w:styleId="TOC8">
    <w:name w:val="toc 8"/>
    <w:basedOn w:val="Normal"/>
    <w:next w:val="Normal"/>
    <w:autoRedefine/>
    <w:semiHidden/>
    <w:rsid w:val="00FD346D"/>
    <w:pPr>
      <w:ind w:left="1680"/>
    </w:pPr>
  </w:style>
  <w:style w:type="paragraph" w:styleId="TOC9">
    <w:name w:val="toc 9"/>
    <w:basedOn w:val="Normal"/>
    <w:next w:val="Normal"/>
    <w:autoRedefine/>
    <w:semiHidden/>
    <w:rsid w:val="00FD346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D346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D346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r="http://schemas.openxmlformats.org/officeDocument/2006/relationships" xmlns:w="http://schemas.openxmlformats.org/wordprocessingml/2006/main">
  <w:encoding w:val="utf-8"/>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30087-5982-43BF-8D99-905E2FC38D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342</Words>
  <Characters>1954</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2018-12-18T12:59:00Z</dcterms:created>
  <dcterms:modified xsi:type="dcterms:W3CDTF">2024-08-27T17:58:00Z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