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1F806632" w:rsidR="006F5FD0" w:rsidRPr="00B33EE6" w:rsidRDefault="0011458F">
      <w:pPr>
        <w:jc w:val="center"/>
        <w:rPr>
          <w:sz w:val="28"/>
          <w:szCs w:val="28"/>
          <w:lang w:val="en-GB"/>
        </w:rPr>
      </w:pPr>
      <w:r w:rsidRPr="0011458F">
        <w:t xml:space="preserve"> </w:t>
      </w:r>
      <w:bookmarkStart w:id="0" w:name="_Hlk196682274"/>
      <w:r w:rsidR="000F155D" w:rsidRPr="000F155D">
        <w:rPr>
          <w:rStyle w:val="Strong"/>
          <w:sz w:val="28"/>
          <w:szCs w:val="28"/>
          <w:lang w:val="en-GB"/>
        </w:rPr>
        <w:t xml:space="preserve">Equipment pack for </w:t>
      </w:r>
      <w:proofErr w:type="gramStart"/>
      <w:r w:rsidR="000F155D" w:rsidRPr="000F155D">
        <w:rPr>
          <w:rStyle w:val="Strong"/>
          <w:sz w:val="28"/>
          <w:szCs w:val="28"/>
          <w:lang w:val="en-GB"/>
        </w:rPr>
        <w:t>stakeholders</w:t>
      </w:r>
      <w:proofErr w:type="gramEnd"/>
      <w:r w:rsidR="000F155D" w:rsidRPr="000F155D">
        <w:rPr>
          <w:rStyle w:val="Strong"/>
          <w:sz w:val="28"/>
          <w:szCs w:val="28"/>
          <w:lang w:val="en-GB"/>
        </w:rPr>
        <w:t xml:space="preserve"> capacity building and environmental studies</w:t>
      </w:r>
      <w:r w:rsidRPr="0011458F">
        <w:rPr>
          <w:rStyle w:val="Strong"/>
          <w:sz w:val="28"/>
          <w:szCs w:val="28"/>
          <w:lang w:val="en-GB"/>
        </w:rPr>
        <w:t xml:space="preserve"> </w:t>
      </w:r>
      <w:bookmarkEnd w:id="0"/>
      <w:r w:rsidR="006F5FD0" w:rsidRPr="00B33EE6">
        <w:rPr>
          <w:rStyle w:val="Strong"/>
          <w:sz w:val="28"/>
          <w:szCs w:val="28"/>
          <w:lang w:val="en-GB"/>
        </w:rPr>
        <w:br/>
      </w:r>
      <w:r>
        <w:rPr>
          <w:rStyle w:val="Strong"/>
          <w:sz w:val="28"/>
          <w:szCs w:val="28"/>
          <w:lang w:val="en-GB"/>
        </w:rPr>
        <w:t>Timisoara</w:t>
      </w:r>
      <w:r w:rsidRPr="0011458F">
        <w:rPr>
          <w:rStyle w:val="Strong"/>
          <w:sz w:val="28"/>
          <w:szCs w:val="28"/>
          <w:lang w:val="en-GB"/>
        </w:rPr>
        <w:t>, Timis county, Romania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166F714" w:rsidR="006F5FD0" w:rsidRPr="00B33EE6" w:rsidRDefault="0011458F">
      <w:pPr>
        <w:pStyle w:val="Blockquote"/>
        <w:rPr>
          <w:i/>
          <w:sz w:val="22"/>
          <w:szCs w:val="22"/>
          <w:lang w:val="en-GB"/>
        </w:rPr>
      </w:pPr>
      <w:bookmarkStart w:id="1" w:name="_Hlk196682302"/>
      <w:r w:rsidRPr="0011458F">
        <w:rPr>
          <w:rStyle w:val="Emphasis"/>
          <w:i w:val="0"/>
          <w:sz w:val="22"/>
          <w:szCs w:val="22"/>
          <w:lang w:val="en-GB"/>
        </w:rPr>
        <w:t>RORS00127/MYNATURE/</w:t>
      </w:r>
      <w:bookmarkEnd w:id="1"/>
      <w:r w:rsidR="000F155D">
        <w:rPr>
          <w:rStyle w:val="Emphasis"/>
          <w:i w:val="0"/>
          <w:sz w:val="22"/>
          <w:szCs w:val="22"/>
          <w:lang w:val="en-GB"/>
        </w:rPr>
        <w:t>5</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CE52F55" w:rsidR="006F5FD0" w:rsidRPr="00B33EE6" w:rsidRDefault="00AD1E4D" w:rsidP="00C867B9">
      <w:pPr>
        <w:pStyle w:val="Blockquote"/>
        <w:ind w:left="0"/>
        <w:jc w:val="both"/>
        <w:rPr>
          <w:sz w:val="22"/>
          <w:szCs w:val="22"/>
          <w:lang w:val="en-GB"/>
        </w:rPr>
      </w:pPr>
      <w:r w:rsidRPr="0011458F">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F50B74B" w14:textId="77777777" w:rsidR="0011458F" w:rsidRDefault="0011458F" w:rsidP="00584BF4">
      <w:pPr>
        <w:ind w:left="709" w:hanging="349"/>
        <w:outlineLvl w:val="0"/>
        <w:rPr>
          <w:lang w:val="en-GB"/>
        </w:rPr>
      </w:pPr>
      <w:r w:rsidRPr="0011458F">
        <w:rPr>
          <w:lang w:val="en-GB"/>
        </w:rPr>
        <w:t>Interreg IPA Romania-Serbia CBC Programme</w:t>
      </w:r>
    </w:p>
    <w:p w14:paraId="797EC4DC" w14:textId="1B12E7BB"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7553194" w14:textId="77777777" w:rsidR="0011458F" w:rsidRDefault="0011458F" w:rsidP="00584BF4">
      <w:pPr>
        <w:ind w:left="709" w:hanging="349"/>
        <w:outlineLvl w:val="0"/>
        <w:rPr>
          <w:rStyle w:val="Emphasis"/>
          <w:i w:val="0"/>
          <w:sz w:val="22"/>
          <w:szCs w:val="22"/>
          <w:lang w:val="en-GB"/>
        </w:rPr>
      </w:pPr>
      <w:r w:rsidRPr="0011458F">
        <w:rPr>
          <w:rStyle w:val="Emphasis"/>
          <w:i w:val="0"/>
          <w:sz w:val="22"/>
          <w:szCs w:val="22"/>
          <w:lang w:val="en-GB"/>
        </w:rPr>
        <w:t>Financing agreement</w:t>
      </w:r>
    </w:p>
    <w:p w14:paraId="03ED8384" w14:textId="592F51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B2C36CA" w14:textId="77777777" w:rsidR="001B06CB" w:rsidRPr="001B06CB" w:rsidRDefault="001B06CB" w:rsidP="001B06CB">
      <w:pPr>
        <w:ind w:left="357" w:right="357"/>
        <w:jc w:val="both"/>
        <w:rPr>
          <w:rStyle w:val="Emphasis"/>
          <w:i w:val="0"/>
          <w:sz w:val="22"/>
          <w:szCs w:val="22"/>
          <w:lang w:val="en-GB"/>
        </w:rPr>
      </w:pPr>
      <w:bookmarkStart w:id="2" w:name="_Hlk196682181"/>
      <w:r w:rsidRPr="001B06CB">
        <w:rPr>
          <w:rStyle w:val="Emphasis"/>
          <w:i w:val="0"/>
          <w:sz w:val="22"/>
          <w:szCs w:val="22"/>
          <w:lang w:val="en-GB"/>
        </w:rPr>
        <w:t>MYNATURE Association,</w:t>
      </w:r>
    </w:p>
    <w:p w14:paraId="2259BEAD" w14:textId="0A3EB1D6" w:rsidR="006F5FD0" w:rsidRDefault="001B06CB" w:rsidP="001B06CB">
      <w:pPr>
        <w:ind w:left="357" w:right="357"/>
        <w:jc w:val="both"/>
        <w:rPr>
          <w:rStyle w:val="Emphasis"/>
          <w:i w:val="0"/>
          <w:sz w:val="22"/>
          <w:szCs w:val="22"/>
          <w:lang w:val="en-GB"/>
        </w:rPr>
      </w:pPr>
      <w:r w:rsidRPr="001B06CB">
        <w:rPr>
          <w:rStyle w:val="Emphasis"/>
          <w:i w:val="0"/>
          <w:sz w:val="22"/>
          <w:szCs w:val="22"/>
          <w:lang w:val="en-GB"/>
        </w:rPr>
        <w:t>12, Răscoala din 1907 Street, Timișoara, Timiș County, Romania,</w:t>
      </w:r>
    </w:p>
    <w:bookmarkEnd w:id="2"/>
    <w:p w14:paraId="67F4A905" w14:textId="062CD006" w:rsidR="006F5FD0" w:rsidRPr="00B33EE6" w:rsidRDefault="00CF5719">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452DB95C">
                <wp:simplePos x="0" y="0"/>
                <wp:positionH relativeFrom="column">
                  <wp:posOffset>0</wp:posOffset>
                </wp:positionH>
                <wp:positionV relativeFrom="paragraph">
                  <wp:posOffset>152400</wp:posOffset>
                </wp:positionV>
                <wp:extent cx="5943600" cy="635"/>
                <wp:effectExtent l="0" t="0" r="0" b="0"/>
                <wp:wrapNone/>
                <wp:docPr id="11522720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202A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5EDC1D0" w:rsidR="006F5FD0" w:rsidRPr="00B33EE6" w:rsidRDefault="008A1184">
      <w:pPr>
        <w:pStyle w:val="Blockquote"/>
        <w:jc w:val="both"/>
        <w:rPr>
          <w:i/>
          <w:sz w:val="22"/>
          <w:szCs w:val="22"/>
          <w:lang w:val="en-GB"/>
        </w:rPr>
      </w:pPr>
      <w:r>
        <w:rPr>
          <w:rStyle w:val="Emphasis"/>
          <w:i w:val="0"/>
          <w:sz w:val="22"/>
          <w:szCs w:val="22"/>
          <w:lang w:val="en-GB"/>
        </w:rPr>
        <w:t xml:space="preserve"> </w:t>
      </w:r>
      <w:r w:rsidRPr="001B06CB">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5C3B5178" w:rsidR="006F5FD0" w:rsidRPr="00B33EE6" w:rsidRDefault="001B06CB">
      <w:pPr>
        <w:pStyle w:val="Blockquote"/>
        <w:jc w:val="both"/>
        <w:rPr>
          <w:i/>
          <w:sz w:val="22"/>
          <w:szCs w:val="22"/>
          <w:lang w:val="en-GB"/>
        </w:rPr>
      </w:pPr>
      <w:r w:rsidRPr="001B06CB">
        <w:rPr>
          <w:rStyle w:val="Emphasis"/>
          <w:i w:val="0"/>
          <w:sz w:val="22"/>
          <w:szCs w:val="22"/>
          <w:lang w:val="en-GB"/>
        </w:rPr>
        <w:t xml:space="preserve">The Contracting Authority want to purchase </w:t>
      </w:r>
      <w:r w:rsidR="000F155D" w:rsidRPr="000F155D">
        <w:rPr>
          <w:rStyle w:val="Emphasis"/>
          <w:i w:val="0"/>
          <w:sz w:val="22"/>
          <w:szCs w:val="22"/>
          <w:lang w:val="en-GB"/>
        </w:rPr>
        <w:t xml:space="preserve">Equipment pack for </w:t>
      </w:r>
      <w:proofErr w:type="gramStart"/>
      <w:r w:rsidR="000F155D" w:rsidRPr="000F155D">
        <w:rPr>
          <w:rStyle w:val="Emphasis"/>
          <w:i w:val="0"/>
          <w:sz w:val="22"/>
          <w:szCs w:val="22"/>
          <w:lang w:val="en-GB"/>
        </w:rPr>
        <w:t>stakeholders</w:t>
      </w:r>
      <w:proofErr w:type="gramEnd"/>
      <w:r w:rsidR="000F155D" w:rsidRPr="000F155D">
        <w:rPr>
          <w:rStyle w:val="Emphasis"/>
          <w:i w:val="0"/>
          <w:sz w:val="22"/>
          <w:szCs w:val="22"/>
          <w:lang w:val="en-GB"/>
        </w:rPr>
        <w:t xml:space="preserve"> capacity building and environmental studies </w:t>
      </w:r>
      <w:r w:rsidRPr="001B06CB">
        <w:rPr>
          <w:rStyle w:val="Emphasis"/>
          <w:i w:val="0"/>
          <w:sz w:val="22"/>
          <w:szCs w:val="22"/>
          <w:lang w:val="en-GB"/>
        </w:rPr>
        <w:t xml:space="preserve">which will be used in the project: “CBC Network for Sustainable Use of Natural </w:t>
      </w:r>
      <w:proofErr w:type="gramStart"/>
      <w:r w:rsidRPr="001B06CB">
        <w:rPr>
          <w:rStyle w:val="Emphasis"/>
          <w:i w:val="0"/>
          <w:sz w:val="22"/>
          <w:szCs w:val="22"/>
          <w:lang w:val="en-GB"/>
        </w:rPr>
        <w:t>Resources“</w:t>
      </w:r>
      <w:proofErr w:type="gramEnd"/>
      <w:r w:rsidRPr="001B06CB">
        <w:rPr>
          <w:rStyle w:val="Emphasis"/>
          <w:i w:val="0"/>
          <w:sz w:val="22"/>
          <w:szCs w:val="22"/>
          <w:lang w:val="en-GB"/>
        </w:rPr>
        <w:t>Green - Path””.</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0B6A62D3" w:rsidR="00E9047D" w:rsidRPr="00B33EE6" w:rsidRDefault="00364564" w:rsidP="00584BF4">
      <w:pPr>
        <w:ind w:left="709" w:hanging="349"/>
        <w:outlineLvl w:val="0"/>
        <w:rPr>
          <w:rStyle w:val="Emphasis"/>
          <w:i w:val="0"/>
          <w:sz w:val="22"/>
          <w:szCs w:val="22"/>
          <w:lang w:val="en-GB"/>
        </w:rPr>
      </w:pPr>
      <w:r w:rsidRPr="00E661F5">
        <w:rPr>
          <w:rStyle w:val="Emphasis"/>
          <w:i w:val="0"/>
          <w:sz w:val="22"/>
          <w:szCs w:val="22"/>
          <w:lang w:val="en-GB"/>
        </w:rPr>
        <w:t>O</w:t>
      </w:r>
      <w:r w:rsidR="00DA0ABA" w:rsidRPr="00E661F5">
        <w:rPr>
          <w:rStyle w:val="Emphasis"/>
          <w:i w:val="0"/>
          <w:sz w:val="22"/>
          <w:szCs w:val="22"/>
          <w:lang w:val="en-GB"/>
        </w:rPr>
        <w:t>ne lot only</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0AFDDFBE" w:rsidR="006F5FD0" w:rsidRPr="00B33EE6" w:rsidRDefault="00CF5719">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7B97D61C">
                <wp:simplePos x="0" y="0"/>
                <wp:positionH relativeFrom="column">
                  <wp:posOffset>-13335</wp:posOffset>
                </wp:positionH>
                <wp:positionV relativeFrom="paragraph">
                  <wp:posOffset>222885</wp:posOffset>
                </wp:positionV>
                <wp:extent cx="5943600" cy="635"/>
                <wp:effectExtent l="0" t="0" r="0" b="0"/>
                <wp:wrapNone/>
                <wp:docPr id="52688894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CEE9"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653F6ECF" w14:textId="10B9F31C" w:rsidR="00B9793F" w:rsidRPr="00C348D5" w:rsidRDefault="00B9793F" w:rsidP="00E661F5">
      <w:pPr>
        <w:pStyle w:val="paragraph"/>
        <w:spacing w:before="0" w:beforeAutospacing="0" w:after="0" w:afterAutospacing="0"/>
        <w:ind w:left="426"/>
        <w:textAlignment w:val="baseline"/>
        <w:rPr>
          <w:iCs/>
          <w:sz w:val="22"/>
          <w:szCs w:val="22"/>
          <w:lang w:val="en-IE"/>
        </w:rPr>
      </w:pPr>
    </w:p>
    <w:p w14:paraId="4D8AD5AD" w14:textId="38CE2037" w:rsidR="00B9793F" w:rsidRPr="00525840" w:rsidRDefault="00B9793F" w:rsidP="008660AD">
      <w:pPr>
        <w:pStyle w:val="paragraph"/>
        <w:spacing w:before="0" w:beforeAutospacing="0" w:after="0" w:afterAutospacing="0"/>
        <w:ind w:right="270"/>
        <w:jc w:val="both"/>
        <w:textAlignment w:val="baseline"/>
        <w:rPr>
          <w:rStyle w:val="eop"/>
          <w:snapToGrid w:val="0"/>
          <w:sz w:val="22"/>
          <w:szCs w:val="22"/>
          <w:lang w:val="en-US" w:eastAsia="en-US"/>
        </w:rPr>
      </w:pPr>
    </w:p>
    <w:p w14:paraId="04E947DD" w14:textId="28351EEC" w:rsidR="00B9793F" w:rsidRPr="00E661F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E661F5">
        <w:rPr>
          <w:iCs/>
          <w:sz w:val="22"/>
          <w:szCs w:val="22"/>
          <w:lang w:val="en-IE"/>
        </w:rPr>
        <w:t>The legal basis of this procedure is Regulation (EU) No [</w:t>
      </w:r>
      <w:r w:rsidR="009E5C83" w:rsidRPr="00E661F5">
        <w:rPr>
          <w:iCs/>
          <w:sz w:val="22"/>
          <w:szCs w:val="22"/>
          <w:lang w:val="en-IE"/>
        </w:rPr>
        <w:t>1529</w:t>
      </w:r>
      <w:r w:rsidRPr="00E661F5">
        <w:rPr>
          <w:iCs/>
          <w:sz w:val="22"/>
          <w:szCs w:val="22"/>
          <w:lang w:val="en-IE"/>
        </w:rPr>
        <w:t xml:space="preserve">] establishing the Instrument for Pre-accession Assistance (IPA III). </w:t>
      </w:r>
      <w:r w:rsidRPr="00E661F5">
        <w:rPr>
          <w:iCs/>
          <w:lang w:val="en-IE"/>
        </w:rPr>
        <w:t>S</w:t>
      </w:r>
      <w:r w:rsidRPr="00E661F5">
        <w:rPr>
          <w:rStyle w:val="normaltextrun"/>
          <w:sz w:val="22"/>
          <w:szCs w:val="22"/>
          <w:shd w:val="clear" w:color="auto" w:fill="C0C0C0"/>
          <w:lang w:val="en-GB"/>
        </w:rPr>
        <w:t>ee Annex A2 of the practical guide.</w:t>
      </w:r>
    </w:p>
    <w:p w14:paraId="57544065" w14:textId="6D1C862B" w:rsidR="00B9793F" w:rsidRDefault="00B9793F" w:rsidP="00711A01">
      <w:pPr>
        <w:pStyle w:val="paragraph"/>
        <w:spacing w:before="0" w:beforeAutospacing="0" w:after="0" w:afterAutospacing="0"/>
        <w:ind w:left="426"/>
        <w:jc w:val="both"/>
        <w:textAlignment w:val="baseline"/>
        <w:rPr>
          <w:rFonts w:ascii="Segoe UI" w:hAnsi="Segoe UI" w:cs="Segoe UI"/>
          <w:sz w:val="22"/>
          <w:szCs w:val="22"/>
          <w:lang w:val="en-US"/>
        </w:rPr>
      </w:pPr>
      <w:r w:rsidRPr="00E661F5">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E661F5">
        <w:rPr>
          <w:iCs/>
          <w:sz w:val="22"/>
          <w:szCs w:val="22"/>
          <w:lang w:val="en-IE"/>
        </w:rPr>
        <w:t>1</w:t>
      </w:r>
      <w:r w:rsidRPr="00E661F5">
        <w:rPr>
          <w:iCs/>
          <w:sz w:val="22"/>
          <w:szCs w:val="22"/>
          <w:lang w:val="en-IE"/>
        </w:rPr>
        <w:t xml:space="preserve"> of Regulation (EU) No [</w:t>
      </w:r>
      <w:r w:rsidR="009E5C83" w:rsidRPr="00E661F5">
        <w:rPr>
          <w:iCs/>
          <w:sz w:val="22"/>
          <w:szCs w:val="22"/>
          <w:lang w:val="en-IE"/>
        </w:rPr>
        <w:t>1529</w:t>
      </w:r>
      <w:r w:rsidRPr="00E661F5">
        <w:rPr>
          <w:iCs/>
          <w:sz w:val="22"/>
          <w:szCs w:val="22"/>
          <w:lang w:val="en-IE"/>
        </w:rPr>
        <w:t xml:space="preserve">] 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6C8A9772" w14:textId="77777777" w:rsidR="00E661F5" w:rsidRPr="00E661F5" w:rsidRDefault="00E661F5" w:rsidP="00E661F5">
      <w:pPr>
        <w:ind w:left="709" w:hanging="349"/>
        <w:outlineLvl w:val="0"/>
        <w:rPr>
          <w:bCs/>
          <w:iCs/>
          <w:sz w:val="22"/>
          <w:szCs w:val="22"/>
          <w:lang w:val="en-IE"/>
        </w:rPr>
      </w:pPr>
      <w:r w:rsidRPr="00E661F5">
        <w:rPr>
          <w:b/>
          <w:bCs/>
          <w:iCs/>
          <w:sz w:val="22"/>
          <w:szCs w:val="22"/>
          <w:lang w:val="en-IE"/>
        </w:rPr>
        <w:t>Rule of Nationality:</w:t>
      </w:r>
      <w:r w:rsidRPr="00E661F5">
        <w:rPr>
          <w:b/>
          <w:iCs/>
          <w:sz w:val="22"/>
          <w:szCs w:val="22"/>
          <w:lang w:val="en-IE"/>
        </w:rPr>
        <w:t xml:space="preserve"> </w:t>
      </w:r>
      <w:r w:rsidRPr="00E661F5">
        <w:rPr>
          <w:bCs/>
          <w:iCs/>
          <w:sz w:val="22"/>
          <w:szCs w:val="22"/>
          <w:lang w:val="en-IE"/>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1BE0F4BD"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019C81C"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a) EU Member States</w:t>
      </w:r>
    </w:p>
    <w:p w14:paraId="181E9EA9"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b) Beneficiaries listed in the Annex I of the IPA III</w:t>
      </w:r>
    </w:p>
    <w:p w14:paraId="69B96D9E"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c) European Economic Area</w:t>
      </w:r>
    </w:p>
    <w:p w14:paraId="09AF3765"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d) Neighbourhood partner countries and territories covered by NDICI (annexe I of NDICI)</w:t>
      </w:r>
    </w:p>
    <w:p w14:paraId="21ECCDDF"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e) Countries for which the Commission has adopted a decision approving the request for reciprocal access to external assistance. Currently, there are no such countries.</w:t>
      </w:r>
    </w:p>
    <w:p w14:paraId="14A2B5FC" w14:textId="77777777" w:rsidR="00E661F5" w:rsidRPr="00E661F5" w:rsidRDefault="00E661F5" w:rsidP="00E661F5">
      <w:pPr>
        <w:ind w:left="709" w:hanging="349"/>
        <w:outlineLvl w:val="0"/>
        <w:rPr>
          <w:bCs/>
          <w:iCs/>
          <w:sz w:val="22"/>
          <w:szCs w:val="22"/>
          <w:lang w:val="en-IE"/>
        </w:rPr>
      </w:pPr>
      <w:r w:rsidRPr="00E661F5">
        <w:rPr>
          <w:bCs/>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12C5372" w14:textId="77777777" w:rsidR="00E661F5" w:rsidRPr="00E661F5" w:rsidRDefault="00E661F5" w:rsidP="00E661F5">
      <w:pPr>
        <w:ind w:left="709" w:hanging="349"/>
        <w:outlineLvl w:val="0"/>
        <w:rPr>
          <w:bCs/>
          <w:sz w:val="22"/>
          <w:szCs w:val="22"/>
        </w:rPr>
      </w:pPr>
      <w:r w:rsidRPr="00E661F5">
        <w:rPr>
          <w:b/>
          <w:iCs/>
          <w:sz w:val="22"/>
          <w:szCs w:val="22"/>
        </w:rPr>
        <w:t>Rule of Origin:</w:t>
      </w:r>
      <w:r w:rsidRPr="00E661F5">
        <w:rPr>
          <w:bCs/>
          <w:iCs/>
          <w:sz w:val="22"/>
          <w:szCs w:val="22"/>
        </w:rPr>
        <w:t xml:space="preserve"> Goods and materials supplied under a procurement or a grant contract, financed under the INTERREG IPA Romania-Serbia Programme are fully untied and can originate in any country. All supplies and materials are fully untied and no verification of origins is required</w:t>
      </w:r>
      <w:r w:rsidRPr="00E661F5">
        <w:rPr>
          <w:bCs/>
          <w:iCs/>
          <w:sz w:val="22"/>
          <w:szCs w:val="22"/>
          <w:lang w:val="en-IE"/>
        </w:rPr>
        <w:t>.</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3" w:name="_DV_M201"/>
      <w:bookmarkStart w:id="4" w:name="_DV_M224"/>
      <w:bookmarkStart w:id="5" w:name="_DV_M225"/>
      <w:bookmarkStart w:id="6" w:name="_DV_M226"/>
      <w:bookmarkStart w:id="7" w:name="_DV_M227"/>
      <w:bookmarkStart w:id="8" w:name="_DV_M229"/>
      <w:bookmarkStart w:id="9" w:name="_DV_M231"/>
      <w:bookmarkStart w:id="10" w:name="_DV_M232"/>
      <w:bookmarkStart w:id="11" w:name="_DV_M233"/>
      <w:bookmarkStart w:id="12" w:name="_DV_M234"/>
      <w:bookmarkStart w:id="13" w:name="_DV_M235"/>
      <w:bookmarkStart w:id="14" w:name="_DV_M236"/>
      <w:bookmarkStart w:id="15" w:name="_DV_M237"/>
      <w:bookmarkStart w:id="16" w:name="_DV_M238"/>
      <w:bookmarkEnd w:id="3"/>
      <w:bookmarkEnd w:id="4"/>
      <w:bookmarkEnd w:id="5"/>
      <w:bookmarkEnd w:id="6"/>
      <w:bookmarkEnd w:id="7"/>
      <w:bookmarkEnd w:id="8"/>
      <w:bookmarkEnd w:id="9"/>
      <w:bookmarkEnd w:id="10"/>
      <w:bookmarkEnd w:id="11"/>
      <w:bookmarkEnd w:id="12"/>
      <w:bookmarkEnd w:id="13"/>
      <w:bookmarkEnd w:id="14"/>
      <w:bookmarkEnd w:id="15"/>
      <w:bookmarkEnd w:id="16"/>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70BEAAA2" w14:textId="77777777" w:rsidR="00AC3A63" w:rsidRDefault="00AC3A63" w:rsidP="00584BF4">
      <w:pPr>
        <w:ind w:left="709" w:hanging="349"/>
        <w:outlineLvl w:val="0"/>
        <w:rPr>
          <w:rStyle w:val="Strong"/>
          <w:sz w:val="22"/>
          <w:szCs w:val="22"/>
          <w:lang w:val="en-GB"/>
        </w:rPr>
      </w:pPr>
    </w:p>
    <w:p w14:paraId="3126791C" w14:textId="37346976"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770B7EC" w:rsidR="006F5FD0" w:rsidRPr="00B33EE6" w:rsidRDefault="00CF5719">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2F4FE77F">
                <wp:simplePos x="0" y="0"/>
                <wp:positionH relativeFrom="column">
                  <wp:posOffset>19050</wp:posOffset>
                </wp:positionH>
                <wp:positionV relativeFrom="paragraph">
                  <wp:posOffset>26035</wp:posOffset>
                </wp:positionV>
                <wp:extent cx="5943600" cy="635"/>
                <wp:effectExtent l="0" t="0" r="0" b="0"/>
                <wp:wrapNone/>
                <wp:docPr id="10543172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3EE1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CA20802" w:rsidR="006F5FD0" w:rsidRPr="00B33EE6" w:rsidRDefault="000F155D" w:rsidP="00571687">
      <w:pPr>
        <w:pStyle w:val="Blockquote"/>
        <w:jc w:val="both"/>
        <w:rPr>
          <w:i/>
          <w:sz w:val="22"/>
          <w:szCs w:val="22"/>
          <w:lang w:val="en-GB"/>
        </w:rPr>
      </w:pPr>
      <w:r>
        <w:rPr>
          <w:rStyle w:val="Emphasis"/>
          <w:i w:val="0"/>
          <w:sz w:val="22"/>
          <w:szCs w:val="22"/>
          <w:lang w:val="en-GB"/>
        </w:rPr>
        <w:t>22.12</w:t>
      </w:r>
      <w:r w:rsidR="00E661F5">
        <w:rPr>
          <w:rStyle w:val="Emphasis"/>
          <w:i w:val="0"/>
          <w:sz w:val="22"/>
          <w:szCs w:val="22"/>
          <w:lang w:val="en-GB"/>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AF1F436" w:rsidR="006F5FD0" w:rsidRPr="00B33EE6" w:rsidRDefault="00E661F5" w:rsidP="00571687">
      <w:pPr>
        <w:pStyle w:val="Blockquote"/>
        <w:jc w:val="both"/>
        <w:rPr>
          <w:i/>
          <w:sz w:val="22"/>
          <w:szCs w:val="22"/>
          <w:lang w:val="en-GB"/>
        </w:rPr>
      </w:pPr>
      <w:r w:rsidRPr="00E661F5">
        <w:rPr>
          <w:rStyle w:val="Emphasis"/>
          <w:i w:val="0"/>
          <w:sz w:val="22"/>
          <w:szCs w:val="22"/>
          <w:lang w:val="en-GB"/>
        </w:rPr>
        <w:t>90 days</w:t>
      </w:r>
    </w:p>
    <w:p w14:paraId="29CC7DD8" w14:textId="5FB42BD2" w:rsidR="006F5FD0" w:rsidRPr="00B33EE6" w:rsidRDefault="00CF5719">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38A9A88E">
                <wp:simplePos x="0" y="0"/>
                <wp:positionH relativeFrom="column">
                  <wp:posOffset>0</wp:posOffset>
                </wp:positionH>
                <wp:positionV relativeFrom="paragraph">
                  <wp:posOffset>152400</wp:posOffset>
                </wp:positionV>
                <wp:extent cx="5943600" cy="635"/>
                <wp:effectExtent l="0" t="0" r="0" b="0"/>
                <wp:wrapNone/>
                <wp:docPr id="7042960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AE94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lastRenderedPageBreak/>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631B58EF" w:rsidR="009B5369" w:rsidRDefault="009B5369" w:rsidP="009B5369">
      <w:pPr>
        <w:pStyle w:val="Blockquote"/>
        <w:ind w:left="357" w:right="357"/>
        <w:jc w:val="both"/>
        <w:rPr>
          <w:sz w:val="22"/>
          <w:szCs w:val="22"/>
        </w:rPr>
      </w:pPr>
      <w:r w:rsidRPr="008A1893">
        <w:rPr>
          <w:sz w:val="22"/>
          <w:szCs w:val="22"/>
        </w:rPr>
        <w:t>The selection criteria for each tenderer are as follows:</w:t>
      </w:r>
    </w:p>
    <w:p w14:paraId="39BFCDAA" w14:textId="77777777" w:rsidR="008A1893" w:rsidRPr="008A1893" w:rsidRDefault="008A1893" w:rsidP="008A1893">
      <w:pPr>
        <w:pStyle w:val="Blockquote"/>
        <w:ind w:left="357" w:right="357"/>
        <w:jc w:val="both"/>
        <w:rPr>
          <w:sz w:val="22"/>
          <w:szCs w:val="22"/>
        </w:rPr>
      </w:pPr>
      <w:r w:rsidRPr="008A1893">
        <w:rPr>
          <w:sz w:val="22"/>
          <w:szCs w:val="22"/>
        </w:rPr>
        <w:t xml:space="preserve">Criteria for legal and natural persons:  </w:t>
      </w:r>
    </w:p>
    <w:p w14:paraId="6655E468" w14:textId="5DA4EFBA" w:rsidR="008A1893" w:rsidRDefault="008A1893" w:rsidP="008A1893">
      <w:pPr>
        <w:pStyle w:val="Blockquote"/>
        <w:ind w:left="357" w:right="357"/>
        <w:jc w:val="both"/>
        <w:rPr>
          <w:sz w:val="22"/>
          <w:szCs w:val="22"/>
        </w:rPr>
      </w:pPr>
      <w:r w:rsidRPr="008A1893">
        <w:rPr>
          <w:sz w:val="22"/>
          <w:szCs w:val="22"/>
        </w:rPr>
        <w:t>1)</w:t>
      </w:r>
      <w:r w:rsidRPr="008A1893">
        <w:rPr>
          <w:sz w:val="22"/>
          <w:szCs w:val="22"/>
        </w:rPr>
        <w:tab/>
        <w:t>the average annual turnover of the tenderer must exceed 10.000,00 EUR;</w:t>
      </w:r>
    </w:p>
    <w:p w14:paraId="0D8007E0" w14:textId="77777777" w:rsidR="008A1893" w:rsidRPr="009B5369" w:rsidRDefault="008A1893" w:rsidP="009B5369">
      <w:pPr>
        <w:pStyle w:val="Blockquote"/>
        <w:ind w:left="357" w:right="357"/>
        <w:jc w:val="both"/>
        <w:rPr>
          <w:sz w:val="22"/>
          <w:szCs w:val="22"/>
        </w:rPr>
      </w:pP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BFD4FC" w14:textId="77777777" w:rsidR="008A1893" w:rsidRPr="00CC621E" w:rsidRDefault="008A1893" w:rsidP="008A1893">
      <w:pPr>
        <w:pStyle w:val="Blockquote"/>
        <w:jc w:val="both"/>
        <w:rPr>
          <w:b/>
          <w:sz w:val="22"/>
          <w:szCs w:val="22"/>
          <w:lang w:val="en-GB"/>
        </w:rPr>
      </w:pPr>
      <w:r w:rsidRPr="00CC621E">
        <w:rPr>
          <w:sz w:val="22"/>
          <w:szCs w:val="22"/>
          <w:lang w:val="en-GB"/>
        </w:rPr>
        <w:t>Criteria for legal and natural persons</w:t>
      </w:r>
      <w:r w:rsidRPr="00CC621E">
        <w:rPr>
          <w:b/>
          <w:sz w:val="22"/>
          <w:szCs w:val="22"/>
          <w:lang w:val="en-GB"/>
        </w:rPr>
        <w:t>:</w:t>
      </w:r>
    </w:p>
    <w:p w14:paraId="565A8A75" w14:textId="77777777" w:rsidR="008A1893" w:rsidRPr="00CC621E" w:rsidRDefault="008A1893" w:rsidP="008A1893">
      <w:pPr>
        <w:pStyle w:val="Blockquote"/>
        <w:numPr>
          <w:ilvl w:val="0"/>
          <w:numId w:val="46"/>
        </w:numPr>
        <w:jc w:val="both"/>
        <w:rPr>
          <w:sz w:val="22"/>
          <w:szCs w:val="22"/>
          <w:lang w:val="en-GB"/>
        </w:rPr>
      </w:pPr>
      <w:r w:rsidRPr="00CC621E">
        <w:rPr>
          <w:sz w:val="22"/>
          <w:szCs w:val="22"/>
          <w:lang w:val="en-GB"/>
        </w:rPr>
        <w:t>Has a professional certificate appropriate to this contract, such as the activated CAEN or similar code for the activities;</w:t>
      </w:r>
    </w:p>
    <w:p w14:paraId="7B2DF292" w14:textId="77777777" w:rsidR="008A1893" w:rsidRPr="00B33EE6" w:rsidRDefault="008A1893" w:rsidP="00B33EE6">
      <w:pPr>
        <w:pStyle w:val="Blockquote"/>
        <w:ind w:right="357" w:hanging="3"/>
        <w:jc w:val="both"/>
        <w:rPr>
          <w:sz w:val="22"/>
          <w:szCs w:val="22"/>
          <w:lang w:val="en-GB"/>
        </w:rPr>
      </w:pPr>
    </w:p>
    <w:p w14:paraId="05E75179" w14:textId="356C138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B503D">
        <w:rPr>
          <w:sz w:val="22"/>
          <w:szCs w:val="22"/>
          <w:lang w:val="en-GB"/>
        </w:rPr>
        <w:t>three</w:t>
      </w:r>
      <w:r w:rsidR="00862885" w:rsidRPr="00CB503D">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781EDFD8" w14:textId="77777777" w:rsidR="008A1893" w:rsidRPr="008A1893" w:rsidRDefault="008A1893" w:rsidP="008A1893">
      <w:pPr>
        <w:pStyle w:val="Blockquote"/>
        <w:tabs>
          <w:tab w:val="left" w:pos="284"/>
        </w:tabs>
        <w:jc w:val="both"/>
        <w:rPr>
          <w:sz w:val="22"/>
          <w:szCs w:val="22"/>
          <w:lang w:val="en-GB"/>
        </w:rPr>
      </w:pPr>
      <w:r w:rsidRPr="008A1893">
        <w:rPr>
          <w:sz w:val="22"/>
          <w:szCs w:val="22"/>
          <w:lang w:val="en-GB"/>
        </w:rPr>
        <w:t xml:space="preserve">Criteria for legal and natural persons: </w:t>
      </w:r>
      <w:r w:rsidRPr="008A1893" w:rsidDel="006C0EB6">
        <w:rPr>
          <w:sz w:val="22"/>
          <w:szCs w:val="22"/>
          <w:lang w:val="en-GB"/>
        </w:rPr>
        <w:t xml:space="preserve"> </w:t>
      </w:r>
    </w:p>
    <w:p w14:paraId="52A1FCCB" w14:textId="23E7181A" w:rsidR="00C60830" w:rsidRDefault="00C60830" w:rsidP="00C60830">
      <w:pPr>
        <w:pStyle w:val="Blockquote"/>
        <w:numPr>
          <w:ilvl w:val="0"/>
          <w:numId w:val="48"/>
        </w:numPr>
        <w:tabs>
          <w:tab w:val="left" w:pos="284"/>
        </w:tabs>
        <w:jc w:val="both"/>
        <w:rPr>
          <w:sz w:val="22"/>
          <w:szCs w:val="22"/>
          <w:lang w:val="en-GB"/>
        </w:rPr>
      </w:pPr>
      <w:r w:rsidRPr="00C60830">
        <w:rPr>
          <w:sz w:val="22"/>
          <w:szCs w:val="22"/>
          <w:lang w:val="en-GB"/>
        </w:rPr>
        <w:t xml:space="preserve">The tenderer has delivered supplies under one or more </w:t>
      </w:r>
      <w:r w:rsidRPr="00A4574B">
        <w:rPr>
          <w:sz w:val="22"/>
          <w:szCs w:val="22"/>
          <w:lang w:val="en-GB"/>
        </w:rPr>
        <w:t xml:space="preserve">contracts (no more than </w:t>
      </w:r>
      <w:r w:rsidR="00A4574B" w:rsidRPr="00A4574B">
        <w:rPr>
          <w:sz w:val="22"/>
          <w:szCs w:val="22"/>
          <w:lang w:val="en-GB"/>
        </w:rPr>
        <w:t>15</w:t>
      </w:r>
      <w:r w:rsidRPr="00A4574B">
        <w:rPr>
          <w:sz w:val="22"/>
          <w:szCs w:val="22"/>
          <w:lang w:val="en-GB"/>
        </w:rPr>
        <w:t>), with a total value at least equal to that of its financial offer, in fields similar to this procurement, which were implemented at any time during the reference period (the last three years).</w:t>
      </w:r>
    </w:p>
    <w:p w14:paraId="67053663" w14:textId="4D835FEB"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w:t>
      </w:r>
      <w:r w:rsidR="00EB1327">
        <w:rPr>
          <w:sz w:val="22"/>
          <w:szCs w:val="22"/>
          <w:lang w:val="en-GB"/>
        </w:rPr>
        <w:t>carried out</w:t>
      </w:r>
      <w:r w:rsidRPr="00CB2A5B">
        <w:rPr>
          <w:sz w:val="22"/>
          <w:szCs w:val="22"/>
          <w:lang w:val="en-GB"/>
        </w:rPr>
        <w:t xml:space="preserve">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2CF2758C"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93B56EE" w14:textId="45AFD48C" w:rsidR="006F5FD0" w:rsidRPr="00B33EE6" w:rsidRDefault="00CF5719">
      <w:pPr>
        <w:rPr>
          <w:sz w:val="22"/>
          <w:szCs w:val="22"/>
          <w:lang w:val="en-GB"/>
        </w:rPr>
      </w:pPr>
      <w:r>
        <w:rPr>
          <w:noProof/>
          <w:snapToGrid/>
          <w:sz w:val="22"/>
          <w:szCs w:val="22"/>
          <w:lang w:val="en-GB"/>
        </w:rPr>
        <w:lastRenderedPageBreak/>
        <mc:AlternateContent>
          <mc:Choice Requires="wps">
            <w:drawing>
              <wp:anchor distT="0" distB="0" distL="114300" distR="114300" simplePos="0" relativeHeight="251659776" behindDoc="0" locked="0" layoutInCell="0" allowOverlap="1" wp14:anchorId="45BE0657" wp14:editId="53282211">
                <wp:simplePos x="0" y="0"/>
                <wp:positionH relativeFrom="column">
                  <wp:posOffset>0</wp:posOffset>
                </wp:positionH>
                <wp:positionV relativeFrom="paragraph">
                  <wp:posOffset>152400</wp:posOffset>
                </wp:positionV>
                <wp:extent cx="5943600" cy="635"/>
                <wp:effectExtent l="0" t="0" r="0" b="0"/>
                <wp:wrapNone/>
                <wp:docPr id="48027761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655D3"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4E8FE778"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116E93">
        <w:rPr>
          <w:rStyle w:val="Emphasis"/>
          <w:i w:val="0"/>
          <w:sz w:val="22"/>
          <w:szCs w:val="22"/>
          <w:lang w:val="en-GB"/>
        </w:rPr>
        <w:t>10</w:t>
      </w:r>
      <w:r w:rsidR="00CB503D">
        <w:rPr>
          <w:rStyle w:val="Emphasis"/>
          <w:i w:val="0"/>
          <w:sz w:val="22"/>
          <w:szCs w:val="22"/>
          <w:lang w:val="en-GB"/>
        </w:rPr>
        <w:t>.</w:t>
      </w:r>
      <w:r w:rsidR="00116E93">
        <w:rPr>
          <w:rStyle w:val="Emphasis"/>
          <w:i w:val="0"/>
          <w:sz w:val="22"/>
          <w:szCs w:val="22"/>
          <w:lang w:val="en-GB"/>
        </w:rPr>
        <w:t>12</w:t>
      </w:r>
      <w:r w:rsidR="00CB503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44039389"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w:t>
      </w:r>
      <w:r w:rsidR="00EB1327">
        <w:rPr>
          <w:sz w:val="22"/>
          <w:szCs w:val="22"/>
          <w:lang w:val="en-GB"/>
        </w:rPr>
        <w:t>,</w:t>
      </w:r>
      <w:r w:rsidRPr="00B33EE6">
        <w:rPr>
          <w:sz w:val="22"/>
          <w:szCs w:val="22"/>
          <w:lang w:val="en-GB"/>
        </w:rPr>
        <w:t xml:space="preserve">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583FCE74"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CB503D">
        <w:rPr>
          <w:sz w:val="22"/>
          <w:szCs w:val="22"/>
          <w:lang w:val="en-GB"/>
        </w:rPr>
        <w:t>EUR</w:t>
      </w:r>
      <w:r w:rsidRPr="008660AD">
        <w:rPr>
          <w:sz w:val="22"/>
          <w:szCs w:val="22"/>
          <w:lang w:val="en-GB"/>
        </w:rPr>
        <w:t xml:space="preserve">. If applicable, where a candidate refers to amounts originally expressed in a different currency, the conversion to </w:t>
      </w:r>
      <w:r w:rsidRPr="00CB503D">
        <w:rPr>
          <w:sz w:val="22"/>
          <w:szCs w:val="22"/>
          <w:lang w:val="en-GB"/>
        </w:rPr>
        <w:t>EUR shall be</w:t>
      </w:r>
      <w:r w:rsidRPr="008660AD">
        <w:rPr>
          <w:sz w:val="22"/>
          <w:szCs w:val="22"/>
          <w:lang w:val="en-GB"/>
        </w:rPr>
        <w:t xml:space="preserve"> made in accordance with the InforEuro exchange rate of </w:t>
      </w:r>
      <w:r w:rsidR="00116E93" w:rsidRPr="00116E93">
        <w:rPr>
          <w:b/>
          <w:bCs/>
          <w:sz w:val="22"/>
          <w:szCs w:val="22"/>
          <w:lang w:val="en-GB"/>
        </w:rPr>
        <w:t>November</w:t>
      </w:r>
      <w:r w:rsidR="00CB503D" w:rsidRPr="00CB503D">
        <w:rPr>
          <w:b/>
          <w:bCs/>
          <w:sz w:val="22"/>
          <w:szCs w:val="22"/>
          <w:lang w:val="en-GB"/>
        </w:rPr>
        <w:t xml:space="preserve"> 2025,</w:t>
      </w:r>
      <w:r w:rsidR="00CB503D">
        <w:rPr>
          <w:b/>
          <w:bCs/>
          <w:sz w:val="22"/>
          <w:szCs w:val="22"/>
          <w:lang w:val="en-GB"/>
        </w:rPr>
        <w:t xml:space="preserve"> </w:t>
      </w:r>
      <w:r w:rsidRPr="008660AD">
        <w:rPr>
          <w:sz w:val="22"/>
          <w:szCs w:val="22"/>
          <w:lang w:val="en-GB"/>
        </w:rPr>
        <w:t xml:space="preserve">which can be found at the following address: </w:t>
      </w:r>
      <w:hyperlink r:id="rId12" w:history="1">
        <w:r w:rsidRPr="008660AD">
          <w:rPr>
            <w:rStyle w:val="Hyperlink"/>
            <w:sz w:val="22"/>
            <w:szCs w:val="22"/>
            <w:lang w:val="en-GB"/>
          </w:rPr>
          <w:t>http://ec.europa.eu/budget/graphs/inforeuro.html</w:t>
        </w:r>
      </w:hyperlink>
      <w:r w:rsidRPr="008660AD">
        <w:rPr>
          <w:sz w:val="22"/>
          <w:szCs w:val="22"/>
          <w:lang w:val="en-GB"/>
        </w:rPr>
        <w:t>.</w:t>
      </w:r>
    </w:p>
    <w:p w14:paraId="4A4186FD" w14:textId="77777777" w:rsidR="00AF412E" w:rsidRDefault="00AF412E" w:rsidP="00235A71">
      <w:pPr>
        <w:pStyle w:val="Blockquote"/>
        <w:jc w:val="both"/>
        <w:rPr>
          <w:sz w:val="22"/>
          <w:szCs w:val="22"/>
          <w:lang w:val="en-GB"/>
        </w:rPr>
      </w:pPr>
    </w:p>
    <w:p w14:paraId="4EE4635D" w14:textId="1CDD0E17" w:rsidR="00E9047D" w:rsidRPr="00F9055E" w:rsidRDefault="00CB503D" w:rsidP="00116E93">
      <w:pPr>
        <w:pStyle w:val="Blockquote"/>
        <w:rPr>
          <w:sz w:val="22"/>
          <w:szCs w:val="22"/>
          <w:lang w:val="en-GB"/>
        </w:rPr>
      </w:pPr>
      <w:r>
        <w:rPr>
          <w:sz w:val="22"/>
          <w:szCs w:val="22"/>
          <w:lang w:val="en-GB"/>
        </w:rPr>
        <w:t>O</w:t>
      </w:r>
      <w:r w:rsidR="00E9047D" w:rsidRPr="00CB503D">
        <w:rPr>
          <w:sz w:val="22"/>
          <w:szCs w:val="22"/>
          <w:lang w:val="en-GB"/>
        </w:rPr>
        <w:t xml:space="preserve">pening hours of the contracting authority, </w:t>
      </w:r>
      <w:r w:rsidRPr="00CB503D">
        <w:rPr>
          <w:sz w:val="22"/>
          <w:szCs w:val="22"/>
          <w:lang w:val="en-GB"/>
        </w:rPr>
        <w:t>weekdays between 10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0F9E7" w14:textId="77777777" w:rsidR="00545BE7" w:rsidRDefault="00545BE7">
      <w:r>
        <w:separator/>
      </w:r>
    </w:p>
  </w:endnote>
  <w:endnote w:type="continuationSeparator" w:id="0">
    <w:p w14:paraId="5F5D22D9" w14:textId="77777777" w:rsidR="00545BE7" w:rsidRDefault="0054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35B69" w14:textId="77777777" w:rsidR="00545BE7" w:rsidRDefault="00545BE7">
      <w:r>
        <w:separator/>
      </w:r>
    </w:p>
  </w:footnote>
  <w:footnote w:type="continuationSeparator" w:id="0">
    <w:p w14:paraId="6DA5116C" w14:textId="77777777" w:rsidR="00545BE7" w:rsidRDefault="00545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96F763F"/>
    <w:multiLevelType w:val="hybridMultilevel"/>
    <w:tmpl w:val="568A5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6984C4F"/>
    <w:multiLevelType w:val="hybridMultilevel"/>
    <w:tmpl w:val="92C892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774126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9800628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753647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802719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9617192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4596367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7757042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333195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1604017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55412312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2186145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0197443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69821799">
    <w:abstractNumId w:val="17"/>
  </w:num>
  <w:num w:numId="14" w16cid:durableId="3122494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565577041">
    <w:abstractNumId w:val="13"/>
  </w:num>
  <w:num w:numId="16" w16cid:durableId="3167544">
    <w:abstractNumId w:val="15"/>
  </w:num>
  <w:num w:numId="17" w16cid:durableId="150701289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3415509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02513353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43021865">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77463933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6562200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4619453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93004790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73520267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2171932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9952690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969584850">
    <w:abstractNumId w:val="27"/>
  </w:num>
  <w:num w:numId="29" w16cid:durableId="1863208466">
    <w:abstractNumId w:val="27"/>
  </w:num>
  <w:num w:numId="30" w16cid:durableId="1368020355">
    <w:abstractNumId w:val="27"/>
  </w:num>
  <w:num w:numId="31" w16cid:durableId="1197083881">
    <w:abstractNumId w:val="27"/>
  </w:num>
  <w:num w:numId="32" w16cid:durableId="2069765753">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414521030">
    <w:abstractNumId w:val="36"/>
  </w:num>
  <w:num w:numId="34" w16cid:durableId="668170768">
    <w:abstractNumId w:val="44"/>
  </w:num>
  <w:num w:numId="35" w16cid:durableId="1311060389">
    <w:abstractNumId w:val="35"/>
  </w:num>
  <w:num w:numId="36" w16cid:durableId="274681328">
    <w:abstractNumId w:val="33"/>
  </w:num>
  <w:num w:numId="37" w16cid:durableId="723454431">
    <w:abstractNumId w:val="39"/>
  </w:num>
  <w:num w:numId="38" w16cid:durableId="1475756867">
    <w:abstractNumId w:val="42"/>
  </w:num>
  <w:num w:numId="39" w16cid:durableId="13656656">
    <w:abstractNumId w:val="46"/>
  </w:num>
  <w:num w:numId="40" w16cid:durableId="1169170975">
    <w:abstractNumId w:val="47"/>
  </w:num>
  <w:num w:numId="41" w16cid:durableId="2066903521">
    <w:abstractNumId w:val="43"/>
  </w:num>
  <w:num w:numId="42" w16cid:durableId="2008946946">
    <w:abstractNumId w:val="45"/>
  </w:num>
  <w:num w:numId="43" w16cid:durableId="1068310467">
    <w:abstractNumId w:val="40"/>
  </w:num>
  <w:num w:numId="44" w16cid:durableId="525406409">
    <w:abstractNumId w:val="34"/>
  </w:num>
  <w:num w:numId="45" w16cid:durableId="1088111369">
    <w:abstractNumId w:val="48"/>
  </w:num>
  <w:num w:numId="46" w16cid:durableId="437410525">
    <w:abstractNumId w:val="37"/>
  </w:num>
  <w:num w:numId="47" w16cid:durableId="1438335390">
    <w:abstractNumId w:val="38"/>
  </w:num>
  <w:num w:numId="48" w16cid:durableId="119669982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4FA5"/>
    <w:rsid w:val="000B693E"/>
    <w:rsid w:val="000B7C91"/>
    <w:rsid w:val="000C1101"/>
    <w:rsid w:val="000C1522"/>
    <w:rsid w:val="000D1732"/>
    <w:rsid w:val="000D3EBF"/>
    <w:rsid w:val="000E4709"/>
    <w:rsid w:val="000F0F6C"/>
    <w:rsid w:val="000F1340"/>
    <w:rsid w:val="000F155D"/>
    <w:rsid w:val="000F5DEF"/>
    <w:rsid w:val="0010162C"/>
    <w:rsid w:val="00105302"/>
    <w:rsid w:val="0011458F"/>
    <w:rsid w:val="00116E93"/>
    <w:rsid w:val="0013314C"/>
    <w:rsid w:val="001429BC"/>
    <w:rsid w:val="0014405E"/>
    <w:rsid w:val="00145CFA"/>
    <w:rsid w:val="00150687"/>
    <w:rsid w:val="001661F7"/>
    <w:rsid w:val="00171F2E"/>
    <w:rsid w:val="00180D47"/>
    <w:rsid w:val="001903F3"/>
    <w:rsid w:val="001951FE"/>
    <w:rsid w:val="001A59BB"/>
    <w:rsid w:val="001A66C2"/>
    <w:rsid w:val="001B06CB"/>
    <w:rsid w:val="001B2571"/>
    <w:rsid w:val="001C21A2"/>
    <w:rsid w:val="001C64F1"/>
    <w:rsid w:val="001D19A6"/>
    <w:rsid w:val="001D55F7"/>
    <w:rsid w:val="001E50A2"/>
    <w:rsid w:val="001F0839"/>
    <w:rsid w:val="001F1546"/>
    <w:rsid w:val="001F3E0E"/>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A02C6"/>
    <w:rsid w:val="004C21CC"/>
    <w:rsid w:val="004C49B2"/>
    <w:rsid w:val="004D031B"/>
    <w:rsid w:val="004D5EDB"/>
    <w:rsid w:val="004D7A59"/>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5BE7"/>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2521"/>
    <w:rsid w:val="006F5FD0"/>
    <w:rsid w:val="006F7885"/>
    <w:rsid w:val="007046C8"/>
    <w:rsid w:val="00706E7C"/>
    <w:rsid w:val="00710A38"/>
    <w:rsid w:val="00711A01"/>
    <w:rsid w:val="007121FB"/>
    <w:rsid w:val="007129D6"/>
    <w:rsid w:val="00712CB3"/>
    <w:rsid w:val="00715755"/>
    <w:rsid w:val="00733241"/>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A1893"/>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C13F8"/>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574B"/>
    <w:rsid w:val="00A46ED3"/>
    <w:rsid w:val="00A504E1"/>
    <w:rsid w:val="00A666EC"/>
    <w:rsid w:val="00A779FE"/>
    <w:rsid w:val="00A77B07"/>
    <w:rsid w:val="00A84E04"/>
    <w:rsid w:val="00A85E8A"/>
    <w:rsid w:val="00A94ED6"/>
    <w:rsid w:val="00A97B08"/>
    <w:rsid w:val="00AA5256"/>
    <w:rsid w:val="00AA7F22"/>
    <w:rsid w:val="00AB7F58"/>
    <w:rsid w:val="00AC0D0C"/>
    <w:rsid w:val="00AC3A63"/>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2A90"/>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0830"/>
    <w:rsid w:val="00C61B8C"/>
    <w:rsid w:val="00C712DE"/>
    <w:rsid w:val="00C836E5"/>
    <w:rsid w:val="00C83C65"/>
    <w:rsid w:val="00C840D0"/>
    <w:rsid w:val="00C843AC"/>
    <w:rsid w:val="00C867B9"/>
    <w:rsid w:val="00CA3B1B"/>
    <w:rsid w:val="00CB23E3"/>
    <w:rsid w:val="00CB2A5B"/>
    <w:rsid w:val="00CB503D"/>
    <w:rsid w:val="00CB759D"/>
    <w:rsid w:val="00CB7AAE"/>
    <w:rsid w:val="00CC0A41"/>
    <w:rsid w:val="00CC3BA0"/>
    <w:rsid w:val="00CC48C9"/>
    <w:rsid w:val="00CD765A"/>
    <w:rsid w:val="00CE49A1"/>
    <w:rsid w:val="00CF5719"/>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1F5"/>
    <w:rsid w:val="00E669EC"/>
    <w:rsid w:val="00E66A55"/>
    <w:rsid w:val="00E710D5"/>
    <w:rsid w:val="00E713DA"/>
    <w:rsid w:val="00E813B7"/>
    <w:rsid w:val="00E81C0B"/>
    <w:rsid w:val="00E82874"/>
    <w:rsid w:val="00E845AC"/>
    <w:rsid w:val="00E867FC"/>
    <w:rsid w:val="00E9047D"/>
    <w:rsid w:val="00E97A06"/>
    <w:rsid w:val="00EA399C"/>
    <w:rsid w:val="00EA7B74"/>
    <w:rsid w:val="00EB1327"/>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6F1B"/>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52C7D6A5-E1CE-4164-B52F-B1C1F9B6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605042773">
      <w:bodyDiv w:val="1"/>
      <w:marLeft w:val="0"/>
      <w:marRight w:val="0"/>
      <w:marTop w:val="0"/>
      <w:marBottom w:val="0"/>
      <w:divBdr>
        <w:top w:val="none" w:sz="0" w:space="0" w:color="auto"/>
        <w:left w:val="none" w:sz="0" w:space="0" w:color="auto"/>
        <w:bottom w:val="none" w:sz="0" w:space="0" w:color="auto"/>
        <w:right w:val="none" w:sz="0" w:space="0" w:color="auto"/>
      </w:divBdr>
    </w:div>
    <w:div w:id="632294230">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554344490">
      <w:bodyDiv w:val="1"/>
      <w:marLeft w:val="0"/>
      <w:marRight w:val="0"/>
      <w:marTop w:val="0"/>
      <w:marBottom w:val="0"/>
      <w:divBdr>
        <w:top w:val="none" w:sz="0" w:space="0" w:color="auto"/>
        <w:left w:val="none" w:sz="0" w:space="0" w:color="auto"/>
        <w:bottom w:val="none" w:sz="0" w:space="0" w:color="auto"/>
        <w:right w:val="none" w:sz="0" w:space="0" w:color="auto"/>
      </w:divBdr>
    </w:div>
    <w:div w:id="1732579725">
      <w:bodyDiv w:val="1"/>
      <w:marLeft w:val="0"/>
      <w:marRight w:val="0"/>
      <w:marTop w:val="0"/>
      <w:marBottom w:val="0"/>
      <w:divBdr>
        <w:top w:val="none" w:sz="0" w:space="0" w:color="auto"/>
        <w:left w:val="none" w:sz="0" w:space="0" w:color="auto"/>
        <w:bottom w:val="none" w:sz="0" w:space="0" w:color="auto"/>
        <w:right w:val="none" w:sz="0" w:space="0" w:color="auto"/>
      </w:divBdr>
    </w:div>
    <w:div w:id="1838185406">
      <w:bodyDiv w:val="1"/>
      <w:marLeft w:val="0"/>
      <w:marRight w:val="0"/>
      <w:marTop w:val="0"/>
      <w:marBottom w:val="0"/>
      <w:divBdr>
        <w:top w:val="none" w:sz="0" w:space="0" w:color="auto"/>
        <w:left w:val="none" w:sz="0" w:space="0" w:color="auto"/>
        <w:bottom w:val="none" w:sz="0" w:space="0" w:color="auto"/>
        <w:right w:val="none" w:sz="0" w:space="0" w:color="auto"/>
      </w:divBdr>
    </w:div>
    <w:div w:id="187599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Pages>
  <Words>1604</Words>
  <Characters>9146</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10729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dc:description/>
  <cp:lastModifiedBy>Alma Nicolin</cp:lastModifiedBy>
  <cp:revision>5</cp:revision>
  <cp:lastPrinted>2016-05-31T08:36:00Z</cp:lastPrinted>
  <dcterms:created xsi:type="dcterms:W3CDTF">2025-11-05T05:47:00Z</dcterms:created>
  <dcterms:modified xsi:type="dcterms:W3CDTF">2025-11-05T10:36:00Z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