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55492" w:rsidRPr="00D55492">
        <w:rPr>
          <w:rFonts w:ascii="Times New Roman" w:hAnsi="Times New Roman"/>
          <w:szCs w:val="28"/>
          <w:lang w:val="en-GB"/>
        </w:rPr>
        <w:t>RORS00267/GHZr/TD6</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D166CA" w:rsidRDefault="00D166CA" w:rsidP="00D166CA">
      <w:pPr>
        <w:ind w:left="567"/>
        <w:rPr>
          <w:rFonts w:ascii="Times New Roman" w:hAnsi="Times New Roman"/>
          <w:sz w:val="22"/>
        </w:rPr>
      </w:pPr>
      <w:r w:rsidRPr="00993BBD">
        <w:rPr>
          <w:rFonts w:ascii="Times New Roman" w:hAnsi="Times New Roman"/>
          <w:sz w:val="22"/>
        </w:rPr>
        <w:t>Medical Equipment</w:t>
      </w:r>
      <w:r>
        <w:rPr>
          <w:rFonts w:ascii="Times New Roman" w:hAnsi="Times New Roman"/>
          <w:sz w:val="22"/>
        </w:rPr>
        <w:t xml:space="preserve"> 1set consisting of:</w:t>
      </w:r>
    </w:p>
    <w:p w:rsidR="00A46C6E"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Surgical tripod- ceiling supply unit Quantity: 2 units</w:t>
      </w:r>
    </w:p>
    <w:p w:rsidR="0047783A"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Operating table for ENT surgery</w:t>
      </w:r>
      <w:r>
        <w:rPr>
          <w:rFonts w:ascii="Times New Roman" w:hAnsi="Times New Roman"/>
          <w:sz w:val="22"/>
        </w:rPr>
        <w:t xml:space="preserve"> </w:t>
      </w:r>
      <w:r w:rsidRPr="00D55492">
        <w:rPr>
          <w:rFonts w:ascii="Times New Roman" w:hAnsi="Times New Roman"/>
          <w:sz w:val="22"/>
        </w:rPr>
        <w:t>Quantity: 1 unit</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Operating Lamp for surgery Quantity: 1 unit</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ENT Workastation Quantity: 1 unit</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Microscope for pathology with the digital camera Quantity: 1 unit</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Set of Instruments for ENT Quantity: 1 set</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Anaesthesiology tripod- ceiling supply unit Quantity: 1 unit</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Surgical Sunction pump Quantity: 1 unit</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Electrocautery unit  Quantity: 1 unit</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Surgical examination lamps-mobile Quantity: 2 units</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Anaesthesia device Quantity: 1 unit</w:t>
      </w:r>
    </w:p>
    <w:p w:rsidR="00D55492" w:rsidRPr="00D55492" w:rsidRDefault="00D55492" w:rsidP="00D55492">
      <w:pPr>
        <w:numPr>
          <w:ilvl w:val="0"/>
          <w:numId w:val="34"/>
        </w:numPr>
        <w:spacing w:before="0" w:after="0"/>
        <w:rPr>
          <w:rFonts w:ascii="Times New Roman" w:hAnsi="Times New Roman"/>
          <w:sz w:val="22"/>
        </w:rPr>
      </w:pPr>
      <w:r w:rsidRPr="00D55492">
        <w:rPr>
          <w:rFonts w:ascii="Times New Roman" w:hAnsi="Times New Roman"/>
          <w:sz w:val="22"/>
        </w:rPr>
        <w:t>Rhino-Laryngo Vid-scope Quantity: 1 unit</w:t>
      </w:r>
    </w:p>
    <w:p w:rsidR="00D55492" w:rsidRPr="00D55492" w:rsidRDefault="00D55492" w:rsidP="00D55492">
      <w:pPr>
        <w:spacing w:before="0" w:after="0"/>
        <w:ind w:left="1287"/>
        <w:rPr>
          <w:rFonts w:ascii="Times New Roman" w:hAnsi="Times New Roman"/>
          <w:sz w:val="22"/>
        </w:rPr>
      </w:pP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2"/>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3F3A6F" w:rsidRPr="003F3A6F" w:rsidRDefault="003F3A6F" w:rsidP="003F3A6F"/>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F70AF3" w:rsidP="00280E1B">
            <w:pPr>
              <w:jc w:val="center"/>
              <w:rPr>
                <w:rFonts w:ascii="Times New Roman" w:hAnsi="Times New Roman"/>
                <w:sz w:val="22"/>
              </w:rPr>
            </w:pPr>
            <w:r>
              <w:rPr>
                <w:rFonts w:ascii="Times New Roman" w:hAnsi="Times New Roman"/>
                <w:sz w:val="22"/>
              </w:rPr>
              <w:t>-</w:t>
            </w:r>
          </w:p>
        </w:tc>
        <w:tc>
          <w:tcPr>
            <w:tcW w:w="2268" w:type="dxa"/>
          </w:tcPr>
          <w:p w:rsidR="00403B25" w:rsidRPr="00156114" w:rsidRDefault="00F70AF3" w:rsidP="00403B25">
            <w:pPr>
              <w:jc w:val="center"/>
              <w:rPr>
                <w:rFonts w:ascii="Times New Roman" w:hAnsi="Times New Roman"/>
                <w:sz w:val="22"/>
              </w:rPr>
            </w:pPr>
            <w:r>
              <w:rPr>
                <w:rFonts w:ascii="Times New Roman" w:hAnsi="Times New Roman"/>
                <w:sz w:val="22"/>
              </w:rPr>
              <w:t>-</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B76B05" w:rsidRDefault="003F3A6F" w:rsidP="00D55492">
            <w:pPr>
              <w:jc w:val="center"/>
              <w:rPr>
                <w:rFonts w:ascii="Times New Roman" w:hAnsi="Times New Roman"/>
                <w:sz w:val="22"/>
              </w:rPr>
            </w:pPr>
            <w:r>
              <w:rPr>
                <w:rFonts w:ascii="Times New Roman" w:hAnsi="Times New Roman"/>
                <w:sz w:val="22"/>
              </w:rPr>
              <w:t>0</w:t>
            </w:r>
            <w:r w:rsidR="00D55492">
              <w:rPr>
                <w:rFonts w:ascii="Times New Roman" w:hAnsi="Times New Roman"/>
                <w:sz w:val="22"/>
              </w:rPr>
              <w:t>4</w:t>
            </w:r>
            <w:r w:rsidR="001D5756" w:rsidRPr="00B76B05">
              <w:rPr>
                <w:rFonts w:ascii="Times New Roman" w:hAnsi="Times New Roman"/>
                <w:sz w:val="22"/>
              </w:rPr>
              <w:t>.</w:t>
            </w:r>
            <w:r>
              <w:rPr>
                <w:rFonts w:ascii="Times New Roman" w:hAnsi="Times New Roman"/>
                <w:sz w:val="22"/>
              </w:rPr>
              <w:t>0</w:t>
            </w:r>
            <w:r w:rsidR="00D55492">
              <w:rPr>
                <w:rFonts w:ascii="Times New Roman" w:hAnsi="Times New Roman"/>
                <w:sz w:val="22"/>
              </w:rPr>
              <w:t>8</w:t>
            </w:r>
            <w:r w:rsidR="001D5756" w:rsidRPr="00B76B05">
              <w:rPr>
                <w:rFonts w:ascii="Times New Roman" w:hAnsi="Times New Roman"/>
                <w:sz w:val="22"/>
              </w:rPr>
              <w:t>.202</w:t>
            </w:r>
            <w:r w:rsidR="007731BC">
              <w:rPr>
                <w:rFonts w:ascii="Times New Roman" w:hAnsi="Times New Roman"/>
                <w:sz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3F3A6F" w:rsidP="00D55492">
            <w:pPr>
              <w:jc w:val="center"/>
              <w:rPr>
                <w:rFonts w:ascii="Times New Roman" w:hAnsi="Times New Roman"/>
                <w:sz w:val="22"/>
              </w:rPr>
            </w:pPr>
            <w:r>
              <w:rPr>
                <w:rFonts w:ascii="Times New Roman" w:hAnsi="Times New Roman"/>
                <w:sz w:val="22"/>
              </w:rPr>
              <w:t>1</w:t>
            </w:r>
            <w:r w:rsidR="00D55492">
              <w:rPr>
                <w:rFonts w:ascii="Times New Roman" w:hAnsi="Times New Roman"/>
                <w:sz w:val="22"/>
              </w:rPr>
              <w:t>7</w:t>
            </w:r>
            <w:r w:rsidR="001D5756" w:rsidRPr="00B76B05">
              <w:rPr>
                <w:rFonts w:ascii="Times New Roman" w:hAnsi="Times New Roman"/>
                <w:sz w:val="22"/>
              </w:rPr>
              <w:t>.</w:t>
            </w:r>
            <w:r w:rsidR="007731BC">
              <w:rPr>
                <w:rFonts w:ascii="Times New Roman" w:hAnsi="Times New Roman"/>
                <w:sz w:val="22"/>
              </w:rPr>
              <w:t>0</w:t>
            </w:r>
            <w:r w:rsidR="00D55492">
              <w:rPr>
                <w:rFonts w:ascii="Times New Roman" w:hAnsi="Times New Roman"/>
                <w:sz w:val="22"/>
              </w:rPr>
              <w:t>8</w:t>
            </w:r>
            <w:r w:rsidR="001D5756" w:rsidRPr="00B76B05">
              <w:rPr>
                <w:rFonts w:ascii="Times New Roman" w:hAnsi="Times New Roman"/>
                <w:sz w:val="22"/>
              </w:rPr>
              <w:t>.202</w:t>
            </w:r>
            <w:r>
              <w:rPr>
                <w:rFonts w:ascii="Times New Roman" w:hAnsi="Times New Roman"/>
                <w:sz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D55492" w:rsidP="007731BC">
            <w:pPr>
              <w:jc w:val="center"/>
              <w:rPr>
                <w:rFonts w:ascii="Times New Roman" w:hAnsi="Times New Roman"/>
                <w:sz w:val="22"/>
              </w:rPr>
            </w:pPr>
            <w:r w:rsidRPr="00D55492">
              <w:rPr>
                <w:rFonts w:ascii="Times New Roman" w:hAnsi="Times New Roman"/>
                <w:sz w:val="22"/>
              </w:rPr>
              <w:t>25.08.2025</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00259F" w:rsidP="00D55492">
            <w:pPr>
              <w:jc w:val="center"/>
              <w:rPr>
                <w:rFonts w:ascii="Times New Roman" w:hAnsi="Times New Roman"/>
                <w:sz w:val="22"/>
              </w:rPr>
            </w:pPr>
            <w:r>
              <w:rPr>
                <w:rFonts w:ascii="Times New Roman" w:hAnsi="Times New Roman"/>
                <w:sz w:val="22"/>
              </w:rPr>
              <w:t xml:space="preserve"> </w:t>
            </w:r>
            <w:r w:rsidR="00D55492">
              <w:rPr>
                <w:rFonts w:ascii="Times New Roman" w:hAnsi="Times New Roman"/>
                <w:sz w:val="22"/>
              </w:rPr>
              <w:t>01</w:t>
            </w:r>
            <w:r w:rsidR="001D5756">
              <w:rPr>
                <w:rFonts w:ascii="Times New Roman" w:hAnsi="Times New Roman"/>
                <w:sz w:val="22"/>
              </w:rPr>
              <w:t>.</w:t>
            </w:r>
            <w:r w:rsidR="00280E1B">
              <w:rPr>
                <w:rFonts w:ascii="Times New Roman" w:hAnsi="Times New Roman"/>
                <w:sz w:val="22"/>
              </w:rPr>
              <w:t>0</w:t>
            </w:r>
            <w:r w:rsidR="00D55492">
              <w:rPr>
                <w:rFonts w:ascii="Times New Roman" w:hAnsi="Times New Roman"/>
                <w:sz w:val="22"/>
              </w:rPr>
              <w:t>9</w:t>
            </w:r>
            <w:r w:rsidR="001D5756">
              <w:rPr>
                <w:rFonts w:ascii="Times New Roman" w:hAnsi="Times New Roman"/>
                <w:sz w:val="22"/>
              </w:rPr>
              <w:t>.202</w:t>
            </w:r>
            <w:r w:rsidR="00280E1B">
              <w:rPr>
                <w:rFonts w:ascii="Times New Roman" w:hAnsi="Times New Roman"/>
                <w:sz w:val="22"/>
              </w:rPr>
              <w:t>5</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3F3A6F" w:rsidP="00D55492">
            <w:pPr>
              <w:jc w:val="center"/>
              <w:rPr>
                <w:rFonts w:ascii="Times New Roman" w:hAnsi="Times New Roman"/>
                <w:sz w:val="22"/>
              </w:rPr>
            </w:pPr>
            <w:r>
              <w:rPr>
                <w:rFonts w:ascii="Times New Roman" w:hAnsi="Times New Roman"/>
                <w:sz w:val="22"/>
              </w:rPr>
              <w:t>0</w:t>
            </w:r>
            <w:r w:rsidR="00D55492">
              <w:rPr>
                <w:rFonts w:ascii="Times New Roman" w:hAnsi="Times New Roman"/>
                <w:sz w:val="22"/>
              </w:rPr>
              <w:t>2</w:t>
            </w:r>
            <w:r w:rsidR="00280E1B">
              <w:rPr>
                <w:rFonts w:ascii="Times New Roman" w:hAnsi="Times New Roman"/>
                <w:sz w:val="22"/>
              </w:rPr>
              <w:t>.0</w:t>
            </w:r>
            <w:r w:rsidR="00D55492">
              <w:rPr>
                <w:rFonts w:ascii="Times New Roman" w:hAnsi="Times New Roman"/>
                <w:sz w:val="22"/>
              </w:rPr>
              <w:t>9</w:t>
            </w:r>
            <w:r w:rsidR="00280E1B">
              <w:rPr>
                <w:rFonts w:ascii="Times New Roman" w:hAnsi="Times New Roman"/>
                <w:sz w:val="22"/>
              </w:rPr>
              <w:t>.2025</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3F3A6F" w:rsidP="00D55492">
            <w:pPr>
              <w:jc w:val="center"/>
              <w:rPr>
                <w:rFonts w:ascii="Times New Roman" w:hAnsi="Times New Roman"/>
                <w:sz w:val="22"/>
              </w:rPr>
            </w:pPr>
            <w:r>
              <w:rPr>
                <w:rFonts w:ascii="Times New Roman" w:hAnsi="Times New Roman"/>
                <w:sz w:val="22"/>
              </w:rPr>
              <w:t>1</w:t>
            </w:r>
            <w:r w:rsidR="00D55492">
              <w:rPr>
                <w:rFonts w:ascii="Times New Roman" w:hAnsi="Times New Roman"/>
                <w:sz w:val="22"/>
              </w:rPr>
              <w:t>5</w:t>
            </w:r>
            <w:r w:rsidR="001D5756">
              <w:rPr>
                <w:rFonts w:ascii="Times New Roman" w:hAnsi="Times New Roman"/>
                <w:sz w:val="22"/>
              </w:rPr>
              <w:t>.0</w:t>
            </w:r>
            <w:r w:rsidR="00D55492">
              <w:rPr>
                <w:rFonts w:ascii="Times New Roman" w:hAnsi="Times New Roman"/>
                <w:sz w:val="22"/>
              </w:rPr>
              <w:t>9</w:t>
            </w:r>
            <w:r w:rsidR="001D5756">
              <w:rPr>
                <w:rFonts w:ascii="Times New Roman" w:hAnsi="Times New Roman"/>
                <w:sz w:val="22"/>
              </w:rPr>
              <w:t>.202</w:t>
            </w:r>
            <w:r w:rsidR="007731BC">
              <w:rPr>
                <w:rFonts w:ascii="Times New Roman" w:hAnsi="Times New Roman"/>
                <w:sz w:val="22"/>
              </w:rPr>
              <w:t>5</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w:t>
      </w:r>
      <w:r w:rsidR="003F6D98" w:rsidRPr="003F6D98">
        <w:rPr>
          <w:rFonts w:ascii="Times New Roman" w:hAnsi="Times New Roman"/>
          <w:sz w:val="22"/>
          <w:szCs w:val="22"/>
          <w:lang w:val="en-GB"/>
        </w:rPr>
        <w:lastRenderedPageBreak/>
        <w:t xml:space="preserve">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1D575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4C2425" w:rsidRDefault="000A5F76" w:rsidP="001D5756">
      <w:pPr>
        <w:pStyle w:val="paragraph"/>
        <w:spacing w:before="0" w:beforeAutospacing="0" w:after="0" w:afterAutospacing="0"/>
        <w:textAlignment w:val="baseline"/>
        <w:rPr>
          <w:sz w:val="22"/>
          <w:lang w:val="en-US"/>
        </w:rPr>
      </w:pPr>
      <w:r w:rsidRPr="001D5756">
        <w:rPr>
          <w:sz w:val="22"/>
          <w:lang w:val="en-GB"/>
        </w:rPr>
        <w:t xml:space="preserve">4.1 </w:t>
      </w:r>
      <w:r w:rsidRPr="001D5756">
        <w:rPr>
          <w:sz w:val="22"/>
          <w:lang w:val="en-GB"/>
        </w:rPr>
        <w:tab/>
      </w:r>
      <w:r w:rsidR="00BA2D4C" w:rsidRPr="001D5756">
        <w:rPr>
          <w:sz w:val="22"/>
        </w:rPr>
        <w:t xml:space="preserve">All </w:t>
      </w:r>
      <w:r w:rsidR="00BA2D4C" w:rsidRPr="004C2425">
        <w:rPr>
          <w:sz w:val="22"/>
          <w:lang w:val="en-US"/>
        </w:rPr>
        <w:t>supplies under this contract</w:t>
      </w:r>
      <w:r w:rsidR="001D5756" w:rsidRPr="004C2425">
        <w:rPr>
          <w:sz w:val="22"/>
          <w:lang w:val="en-US"/>
        </w:rPr>
        <w:t xml:space="preserve"> may originate in any country.</w:t>
      </w:r>
    </w:p>
    <w:p w:rsidR="0047783A" w:rsidRDefault="0047783A" w:rsidP="0047783A">
      <w:pPr>
        <w:pStyle w:val="Heading2"/>
        <w:keepNext w:val="0"/>
        <w:ind w:left="567" w:hanging="567"/>
        <w:jc w:val="both"/>
        <w:rPr>
          <w:rFonts w:ascii="Times New Roman" w:hAnsi="Times New Roman"/>
          <w:sz w:val="22"/>
          <w:lang w:val="en-GB"/>
        </w:rPr>
      </w:pPr>
      <w:r w:rsidRPr="004C2425">
        <w:rPr>
          <w:rFonts w:ascii="Times New Roman" w:hAnsi="Times New Roman"/>
          <w:sz w:val="22"/>
          <w:lang w:val="en-US"/>
        </w:rPr>
        <w:t>4.2</w:t>
      </w:r>
      <w:r w:rsidRPr="004C2425">
        <w:rPr>
          <w:rFonts w:ascii="Times New Roman" w:hAnsi="Times New Roman"/>
          <w:sz w:val="22"/>
          <w:lang w:val="en-US"/>
        </w:rPr>
        <w:tab/>
        <w:t>When submitting tender</w:t>
      </w:r>
      <w:r w:rsidR="00164F15" w:rsidRPr="004C2425">
        <w:rPr>
          <w:rFonts w:ascii="Times New Roman" w:hAnsi="Times New Roman"/>
          <w:sz w:val="22"/>
          <w:lang w:val="en-US"/>
        </w:rPr>
        <w:t>s</w:t>
      </w:r>
      <w:r w:rsidRPr="004C2425">
        <w:rPr>
          <w:rFonts w:ascii="Times New Roman" w:hAnsi="Times New Roman"/>
          <w:sz w:val="22"/>
          <w:lang w:val="en-US"/>
        </w:rPr>
        <w:t>, tenderer</w:t>
      </w:r>
      <w:r w:rsidR="00164F15" w:rsidRPr="004C2425">
        <w:rPr>
          <w:rFonts w:ascii="Times New Roman" w:hAnsi="Times New Roman"/>
          <w:sz w:val="22"/>
          <w:lang w:val="en-US"/>
        </w:rPr>
        <w:t>s</w:t>
      </w:r>
      <w:r w:rsidRPr="004C2425">
        <w:rPr>
          <w:rFonts w:ascii="Times New Roman" w:hAnsi="Times New Roman"/>
          <w:sz w:val="22"/>
          <w:lang w:val="en-US"/>
        </w:rPr>
        <w:t xml:space="preserve"> must state expressly</w:t>
      </w:r>
      <w:r w:rsidRPr="00E82463">
        <w:rPr>
          <w:rFonts w:ascii="Times New Roman" w:hAnsi="Times New Roman"/>
          <w:sz w:val="22"/>
          <w:lang w:val="en-GB"/>
        </w:rPr>
        <w:t xml:space="preserve">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will not be permitted to modify their tenders and they are bound to extend the validity of </w:t>
      </w:r>
      <w:r w:rsidRPr="00E82463">
        <w:rPr>
          <w:rFonts w:ascii="Times New Roman" w:hAnsi="Times New Roman"/>
          <w:sz w:val="22"/>
          <w:lang w:val="en-GB"/>
        </w:rPr>
        <w:lastRenderedPageBreak/>
        <w:t>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7D06B4" w:rsidRDefault="007D06B4" w:rsidP="003F2375">
      <w:pPr>
        <w:pStyle w:val="Blockquote"/>
        <w:keepNext/>
        <w:keepLines/>
        <w:spacing w:before="120" w:after="120"/>
        <w:jc w:val="center"/>
        <w:rPr>
          <w:rFonts w:ascii="Times New Roman" w:hAnsi="Times New Roman"/>
        </w:rPr>
      </w:pPr>
      <w:r w:rsidRPr="007D06B4">
        <w:rPr>
          <w:rFonts w:ascii="Times New Roman" w:hAnsi="Times New Roman"/>
        </w:rPr>
        <w:t xml:space="preserve">General Hospital ”Đorđe Joanović” Zrenjanin, </w:t>
      </w:r>
    </w:p>
    <w:p w:rsidR="003F2375" w:rsidRPr="00501508" w:rsidRDefault="007D06B4" w:rsidP="003F2375">
      <w:pPr>
        <w:pStyle w:val="Blockquote"/>
        <w:keepNext/>
        <w:keepLines/>
        <w:spacing w:before="120" w:after="120"/>
        <w:jc w:val="center"/>
        <w:rPr>
          <w:rFonts w:ascii="Times New Roman" w:hAnsi="Times New Roman"/>
        </w:rPr>
      </w:pPr>
      <w:r w:rsidRPr="007D06B4">
        <w:rPr>
          <w:rFonts w:ascii="Times New Roman" w:hAnsi="Times New Roman"/>
        </w:rPr>
        <w:t>Dr Vase Savića 5, 23000 Zrenjanin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7D06B4" w:rsidRDefault="007D06B4" w:rsidP="007D06B4">
      <w:pPr>
        <w:pStyle w:val="Blockquote"/>
        <w:keepNext/>
        <w:keepLines/>
        <w:spacing w:before="120" w:after="120"/>
        <w:jc w:val="center"/>
        <w:rPr>
          <w:rFonts w:ascii="Times New Roman" w:hAnsi="Times New Roman"/>
        </w:rPr>
      </w:pPr>
      <w:r w:rsidRPr="007D06B4">
        <w:rPr>
          <w:rFonts w:ascii="Times New Roman" w:hAnsi="Times New Roman"/>
        </w:rPr>
        <w:t xml:space="preserve">General Hospital ”Đorđe Joanović” Zrenjanin, </w:t>
      </w:r>
    </w:p>
    <w:p w:rsidR="00501508" w:rsidRPr="007D06B4" w:rsidRDefault="007D06B4" w:rsidP="007D06B4">
      <w:pPr>
        <w:pStyle w:val="Blockquote"/>
        <w:keepNext/>
        <w:keepLines/>
        <w:spacing w:before="120" w:after="120"/>
        <w:jc w:val="center"/>
        <w:rPr>
          <w:rFonts w:ascii="Times New Roman" w:hAnsi="Times New Roman"/>
        </w:rPr>
      </w:pPr>
      <w:r w:rsidRPr="007D06B4">
        <w:rPr>
          <w:rFonts w:ascii="Times New Roman" w:hAnsi="Times New Roman"/>
        </w:rPr>
        <w:t>Dr Vase Savića 5, 23000 Zrenjanin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lastRenderedPageBreak/>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4"/>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w:t>
      </w:r>
      <w:r w:rsidR="00D55492" w:rsidRPr="00D55492">
        <w:rPr>
          <w:rFonts w:ascii="Times New Roman" w:hAnsi="Times New Roman"/>
          <w:sz w:val="22"/>
          <w:lang w:val="en-GB"/>
        </w:rPr>
        <w:t>RORS00267/GHZr/TD6</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5"/>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D85561" w:rsidRPr="001A2BC4" w:rsidRDefault="0047783A" w:rsidP="00E91347">
      <w:pPr>
        <w:spacing w:after="0"/>
        <w:ind w:left="567"/>
        <w:rPr>
          <w:b/>
          <w:sz w:val="22"/>
        </w:rPr>
      </w:pPr>
      <w:r w:rsidRPr="00E82463">
        <w:rPr>
          <w:rFonts w:ascii="Times New Roman" w:hAnsi="Times New Roman"/>
          <w:sz w:val="22"/>
          <w:szCs w:val="22"/>
        </w:rPr>
        <w:lastRenderedPageBreak/>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3A4E9E" w:rsidRPr="00E82463" w:rsidRDefault="003A4E9E" w:rsidP="00C348C0">
      <w:pPr>
        <w:keepNext/>
        <w:keepLines/>
        <w:tabs>
          <w:tab w:val="left" w:pos="993"/>
        </w:tabs>
        <w:spacing w:after="0"/>
        <w:ind w:left="567"/>
        <w:rPr>
          <w:rFonts w:ascii="Times New Roman" w:hAnsi="Times New Roman"/>
          <w:sz w:val="22"/>
          <w:szCs w:val="22"/>
        </w:rPr>
      </w:pPr>
      <w:r w:rsidRPr="00B5747D">
        <w:rPr>
          <w:rFonts w:ascii="Times New Roman" w:hAnsi="Times New Roman"/>
          <w:sz w:val="22"/>
          <w:szCs w:val="22"/>
        </w:rPr>
        <w:t xml:space="preserve">The original signed tender guarantee for </w:t>
      </w:r>
      <w:r>
        <w:rPr>
          <w:rFonts w:ascii="Times New Roman" w:hAnsi="Times New Roman"/>
          <w:sz w:val="22"/>
          <w:szCs w:val="22"/>
        </w:rPr>
        <w:t>5</w:t>
      </w:r>
      <w:r w:rsidRPr="00B5747D">
        <w:rPr>
          <w:rFonts w:ascii="Times New Roman" w:hAnsi="Times New Roman"/>
          <w:sz w:val="22"/>
          <w:szCs w:val="22"/>
        </w:rPr>
        <w:t>.</w:t>
      </w:r>
      <w:r>
        <w:rPr>
          <w:rFonts w:ascii="Times New Roman" w:hAnsi="Times New Roman"/>
          <w:sz w:val="22"/>
          <w:szCs w:val="22"/>
        </w:rPr>
        <w:t>0</w:t>
      </w:r>
      <w:r w:rsidRPr="00B5747D">
        <w:rPr>
          <w:rFonts w:ascii="Times New Roman" w:hAnsi="Times New Roman"/>
          <w:sz w:val="22"/>
          <w:szCs w:val="22"/>
        </w:rPr>
        <w:t>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83104D" w:rsidRPr="0008110C" w:rsidRDefault="0047783A" w:rsidP="0008110C">
      <w:pPr>
        <w:numPr>
          <w:ilvl w:val="0"/>
          <w:numId w:val="6"/>
        </w:numPr>
        <w:jc w:val="both"/>
        <w:rPr>
          <w:rFonts w:ascii="Times New Roman" w:hAnsi="Times New Roman"/>
          <w:sz w:val="22"/>
          <w:szCs w:val="22"/>
        </w:rPr>
      </w:pPr>
      <w:r w:rsidRPr="0008110C">
        <w:rPr>
          <w:rFonts w:ascii="Times New Roman" w:hAnsi="Times New Roman"/>
          <w:sz w:val="22"/>
          <w:szCs w:val="22"/>
        </w:rPr>
        <w:t xml:space="preserve">The legal entity file </w:t>
      </w:r>
      <w:r w:rsidR="007C6835" w:rsidRPr="0008110C">
        <w:rPr>
          <w:rFonts w:ascii="Times New Roman" w:hAnsi="Times New Roman"/>
          <w:sz w:val="22"/>
          <w:szCs w:val="22"/>
        </w:rPr>
        <w:t xml:space="preserve">(document c4o2_lefind_en) </w:t>
      </w:r>
      <w:r w:rsidRPr="0008110C">
        <w:rPr>
          <w:rFonts w:ascii="Times New Roman" w:hAnsi="Times New Roman"/>
          <w:sz w:val="22"/>
          <w:szCs w:val="22"/>
        </w:rPr>
        <w:t>and the supporting documents (</w:t>
      </w:r>
      <w:r w:rsidR="005C1201" w:rsidRPr="0008110C">
        <w:rPr>
          <w:rFonts w:ascii="Times New Roman" w:hAnsi="Times New Roman"/>
          <w:sz w:val="22"/>
          <w:szCs w:val="22"/>
        </w:rPr>
        <w:t>t</w:t>
      </w:r>
      <w:r w:rsidRPr="0008110C">
        <w:rPr>
          <w:rFonts w:ascii="Times New Roman" w:hAnsi="Times New Roman"/>
          <w:sz w:val="22"/>
          <w:szCs w:val="22"/>
        </w:rPr>
        <w:t>enderer</w:t>
      </w:r>
      <w:r w:rsidR="002D0CE1" w:rsidRPr="0008110C">
        <w:rPr>
          <w:rFonts w:ascii="Times New Roman" w:hAnsi="Times New Roman"/>
          <w:sz w:val="22"/>
          <w:szCs w:val="22"/>
        </w:rPr>
        <w:t>s that</w:t>
      </w:r>
      <w:r w:rsidRPr="0008110C">
        <w:rPr>
          <w:rFonts w:ascii="Times New Roman" w:hAnsi="Times New Roman"/>
          <w:sz w:val="22"/>
          <w:szCs w:val="22"/>
        </w:rPr>
        <w:t xml:space="preserve"> ha</w:t>
      </w:r>
      <w:r w:rsidR="002D0CE1" w:rsidRPr="0008110C">
        <w:rPr>
          <w:rFonts w:ascii="Times New Roman" w:hAnsi="Times New Roman"/>
          <w:sz w:val="22"/>
          <w:szCs w:val="22"/>
        </w:rPr>
        <w:t>ve</w:t>
      </w:r>
      <w:r w:rsidRPr="0008110C">
        <w:rPr>
          <w:rFonts w:ascii="Times New Roman" w:hAnsi="Times New Roman"/>
          <w:sz w:val="22"/>
          <w:szCs w:val="22"/>
        </w:rPr>
        <w:t xml:space="preserve"> already signed another contract with the European Commission, may provide </w:t>
      </w:r>
      <w:r w:rsidR="002D0CE1" w:rsidRPr="0008110C">
        <w:rPr>
          <w:rFonts w:ascii="Times New Roman" w:hAnsi="Times New Roman"/>
          <w:sz w:val="22"/>
          <w:szCs w:val="22"/>
        </w:rPr>
        <w:t xml:space="preserve">their legal entity number </w:t>
      </w:r>
      <w:r w:rsidRPr="0008110C">
        <w:rPr>
          <w:rFonts w:ascii="Times New Roman" w:hAnsi="Times New Roman"/>
          <w:sz w:val="22"/>
          <w:szCs w:val="22"/>
        </w:rPr>
        <w:t>instead of the legal entity sheet and supporting documents</w:t>
      </w:r>
      <w:r w:rsidR="002D0CE1" w:rsidRPr="0008110C">
        <w:rPr>
          <w:rFonts w:ascii="Times New Roman" w:hAnsi="Times New Roman"/>
          <w:sz w:val="22"/>
          <w:szCs w:val="22"/>
        </w:rPr>
        <w:t>,</w:t>
      </w:r>
      <w:r w:rsidRPr="0008110C">
        <w:rPr>
          <w:rFonts w:ascii="Times New Roman" w:hAnsi="Times New Roman"/>
          <w:sz w:val="22"/>
          <w:szCs w:val="22"/>
        </w:rPr>
        <w:t xml:space="preserve"> or a copy of the legal entity sheet provided on that occasion, </w:t>
      </w:r>
      <w:r w:rsidR="002D0CE1" w:rsidRPr="0008110C">
        <w:rPr>
          <w:rFonts w:ascii="Times New Roman" w:hAnsi="Times New Roman"/>
          <w:sz w:val="22"/>
          <w:szCs w:val="22"/>
        </w:rPr>
        <w:t>if no</w:t>
      </w:r>
      <w:r w:rsidRPr="0008110C">
        <w:rPr>
          <w:rFonts w:ascii="Times New Roman" w:hAnsi="Times New Roman"/>
          <w:sz w:val="22"/>
          <w:szCs w:val="22"/>
        </w:rPr>
        <w:t xml:space="preserve"> change in legal status</w:t>
      </w:r>
      <w:r w:rsidR="002D0CE1" w:rsidRPr="0008110C">
        <w:rPr>
          <w:rFonts w:ascii="Times New Roman" w:hAnsi="Times New Roman"/>
          <w:sz w:val="22"/>
          <w:szCs w:val="22"/>
        </w:rPr>
        <w:t xml:space="preserve"> has</w:t>
      </w:r>
      <w:r w:rsidRPr="0008110C">
        <w:rPr>
          <w:rFonts w:ascii="Times New Roman" w:hAnsi="Times New Roman"/>
          <w:sz w:val="22"/>
          <w:szCs w:val="22"/>
        </w:rPr>
        <w:t xml:space="preserve"> occurred in the meantime)</w:t>
      </w:r>
      <w:r w:rsidR="00E82463" w:rsidRPr="0008110C">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3C4CBF" w:rsidRDefault="00D55492" w:rsidP="003051AA">
      <w:pPr>
        <w:pStyle w:val="Heading2"/>
        <w:keepNext w:val="0"/>
        <w:tabs>
          <w:tab w:val="num" w:pos="567"/>
        </w:tabs>
        <w:spacing w:before="0"/>
        <w:ind w:left="567"/>
        <w:jc w:val="both"/>
        <w:rPr>
          <w:rFonts w:ascii="Times New Roman" w:hAnsi="Times New Roman"/>
          <w:sz w:val="22"/>
          <w:lang w:val="en-ZW"/>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lastRenderedPageBreak/>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Pr="00275676" w:rsidRDefault="007D06B4" w:rsidP="00275676">
      <w:pPr>
        <w:ind w:left="567"/>
        <w:rPr>
          <w:rFonts w:ascii="Times New Roman" w:hAnsi="Times New Roman"/>
          <w:sz w:val="22"/>
        </w:rPr>
      </w:pPr>
      <w:r>
        <w:rPr>
          <w:rFonts w:ascii="Times New Roman" w:hAnsi="Times New Roman"/>
          <w:sz w:val="22"/>
        </w:rPr>
        <w:t>Zdravko Stojanov</w:t>
      </w:r>
      <w:r w:rsidR="00275676" w:rsidRPr="00275676">
        <w:rPr>
          <w:rFonts w:ascii="Times New Roman" w:hAnsi="Times New Roman"/>
          <w:sz w:val="22"/>
        </w:rPr>
        <w:br/>
      </w:r>
      <w:r w:rsidRPr="007D06B4">
        <w:rPr>
          <w:rFonts w:ascii="Times New Roman" w:hAnsi="Times New Roman"/>
          <w:sz w:val="22"/>
        </w:rPr>
        <w:t>General Hospital ”Đorđe Joanović” Zrenjanin, Dr Vase Savića 5, 23000 Zrenjanin Serbia</w:t>
      </w:r>
      <w:r w:rsidR="00275676" w:rsidRPr="00275676">
        <w:rPr>
          <w:rFonts w:ascii="Times New Roman" w:hAnsi="Times New Roman"/>
          <w:sz w:val="22"/>
        </w:rPr>
        <w:br/>
      </w:r>
      <w:hyperlink r:id="rId13" w:history="1">
        <w:r w:rsidRPr="00140401">
          <w:rPr>
            <w:rStyle w:val="Hyperlink"/>
            <w:rFonts w:ascii="Times New Roman" w:hAnsi="Times New Roman"/>
            <w:sz w:val="22"/>
          </w:rPr>
          <w:t>zdravkostojanov@gmail.com</w:t>
        </w:r>
      </w:hyperlink>
      <w:r>
        <w:rPr>
          <w:rFonts w:ascii="Times New Roman" w:hAnsi="Times New Roman"/>
          <w:sz w:val="22"/>
        </w:rPr>
        <w:t xml:space="preserve"> </w:t>
      </w:r>
      <w:r w:rsidR="00275676">
        <w:rPr>
          <w:rFonts w:ascii="Times New Roman" w:hAnsi="Times New Roman"/>
          <w:sz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 xml:space="preserve">will be published on </w:t>
      </w:r>
      <w:r w:rsidR="007D06B4">
        <w:rPr>
          <w:rFonts w:ascii="Times New Roman" w:hAnsi="Times New Roman"/>
          <w:sz w:val="22"/>
          <w:szCs w:val="22"/>
        </w:rPr>
        <w:t>the</w:t>
      </w:r>
      <w:r>
        <w:rPr>
          <w:rFonts w:ascii="Times New Roman" w:hAnsi="Times New Roman"/>
          <w:sz w:val="22"/>
        </w:rPr>
        <w:t xml:space="preserve">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4C2425" w:rsidRDefault="0008110C" w:rsidP="0008110C">
      <w:pPr>
        <w:pStyle w:val="Heading2"/>
        <w:keepNext w:val="0"/>
        <w:numPr>
          <w:ilvl w:val="1"/>
          <w:numId w:val="4"/>
        </w:numPr>
        <w:tabs>
          <w:tab w:val="clear" w:pos="792"/>
        </w:tabs>
        <w:ind w:left="567" w:hanging="567"/>
        <w:jc w:val="both"/>
        <w:rPr>
          <w:rFonts w:ascii="Times New Roman" w:hAnsi="Times New Roman"/>
          <w:sz w:val="22"/>
          <w:szCs w:val="22"/>
          <w:lang w:val="en-GB"/>
        </w:rPr>
      </w:pPr>
      <w:r w:rsidRPr="0008110C">
        <w:rPr>
          <w:rFonts w:ascii="Times New Roman" w:hAnsi="Times New Roman"/>
          <w:sz w:val="22"/>
          <w:szCs w:val="22"/>
        </w:rPr>
        <w:t xml:space="preserve">No clarification </w:t>
      </w:r>
      <w:r w:rsidRPr="004C2425">
        <w:rPr>
          <w:rFonts w:ascii="Times New Roman" w:hAnsi="Times New Roman"/>
          <w:sz w:val="22"/>
          <w:szCs w:val="22"/>
          <w:lang w:val="en-GB"/>
        </w:rPr>
        <w:t>meeting / site visit planned. Visits by individual prospective tenderers during the tender period cannot be organised</w:t>
      </w:r>
      <w:r w:rsidR="0047783A" w:rsidRPr="004C2425">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w:t>
      </w:r>
      <w:r w:rsidRPr="00E82463">
        <w:rPr>
          <w:rFonts w:ascii="Times New Roman" w:hAnsi="Times New Roman"/>
          <w:sz w:val="22"/>
          <w:lang w:val="en-GB"/>
        </w:rPr>
        <w:lastRenderedPageBreak/>
        <w:t xml:space="preserve">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w:t>
      </w:r>
      <w:r w:rsidRPr="00E82463">
        <w:rPr>
          <w:rFonts w:ascii="Times New Roman" w:hAnsi="Times New Roman"/>
          <w:sz w:val="22"/>
        </w:rPr>
        <w:lastRenderedPageBreak/>
        <w:t>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75676">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In any 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lastRenderedPageBreak/>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304D0">
        <w:rPr>
          <w:rFonts w:ascii="Times New Roman" w:hAnsi="Times New Roman"/>
          <w:sz w:val="22"/>
          <w:szCs w:val="22"/>
        </w:rPr>
        <w:t xml:space="preserve"> </w:t>
      </w:r>
      <w:r w:rsidR="00F67D26" w:rsidRPr="00A633C6">
        <w:rPr>
          <w:rFonts w:ascii="Times New Roman" w:hAnsi="Times New Roman"/>
          <w:sz w:val="22"/>
          <w:szCs w:val="22"/>
        </w:rPr>
        <w:t>the tender</w:t>
      </w:r>
      <w:r w:rsidR="008304D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Tenderers must provide a tender guarantee of EUR 5</w:t>
      </w:r>
      <w:r>
        <w:rPr>
          <w:rFonts w:ascii="Times New Roman" w:hAnsi="Times New Roman"/>
          <w:sz w:val="22"/>
          <w:szCs w:val="22"/>
        </w:rPr>
        <w:t>0</w:t>
      </w:r>
      <w:r w:rsidRPr="00AC766E">
        <w:rPr>
          <w:rFonts w:ascii="Times New Roman" w:hAnsi="Times New Roman"/>
          <w:sz w:val="22"/>
          <w:szCs w:val="22"/>
        </w:rPr>
        <w:t>00,00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 The tender guarantee of the successful tenderer will be released on signing of the contract, once the performance guarantee has been submitted.</w:t>
      </w:r>
    </w:p>
    <w:p w:rsidR="008718AA" w:rsidRPr="00E82463" w:rsidRDefault="003A4E9E" w:rsidP="003A4E9E">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r w:rsidR="00C348C0" w:rsidRPr="00C348C0">
        <w:rPr>
          <w:rFonts w:ascii="Times New Roman" w:hAnsi="Times New Roman"/>
          <w:sz w:val="22"/>
          <w:szCs w:val="22"/>
        </w:rPr>
        <w:lastRenderedPageBreak/>
        <w:t>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lastRenderedPageBreak/>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431BC8"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B4F" w:rsidRPr="006A5F84" w:rsidRDefault="00430B4F">
      <w:r w:rsidRPr="006A5F84">
        <w:separator/>
      </w:r>
    </w:p>
  </w:endnote>
  <w:endnote w:type="continuationSeparator" w:id="1">
    <w:p w:rsidR="00430B4F" w:rsidRPr="006A5F84" w:rsidRDefault="00430B4F">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431BC8"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431BC8"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431BC8" w:rsidRPr="009423FB">
      <w:rPr>
        <w:rStyle w:val="PageNumber"/>
        <w:rFonts w:ascii="Times New Roman" w:hAnsi="Times New Roman"/>
        <w:sz w:val="18"/>
        <w:szCs w:val="18"/>
      </w:rPr>
      <w:fldChar w:fldCharType="separate"/>
    </w:r>
    <w:r w:rsidR="004C2425">
      <w:rPr>
        <w:rStyle w:val="PageNumber"/>
        <w:rFonts w:ascii="Times New Roman" w:hAnsi="Times New Roman"/>
        <w:noProof/>
        <w:sz w:val="18"/>
        <w:szCs w:val="18"/>
      </w:rPr>
      <w:t>14</w:t>
    </w:r>
    <w:r w:rsidR="00431BC8"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431BC8"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431BC8" w:rsidRPr="009423FB">
      <w:rPr>
        <w:rStyle w:val="PageNumber"/>
        <w:rFonts w:ascii="Times New Roman" w:hAnsi="Times New Roman"/>
        <w:sz w:val="18"/>
        <w:szCs w:val="18"/>
      </w:rPr>
      <w:fldChar w:fldCharType="separate"/>
    </w:r>
    <w:r w:rsidR="004C2425">
      <w:rPr>
        <w:rStyle w:val="PageNumber"/>
        <w:rFonts w:ascii="Times New Roman" w:hAnsi="Times New Roman"/>
        <w:noProof/>
        <w:sz w:val="18"/>
        <w:szCs w:val="18"/>
      </w:rPr>
      <w:t>14</w:t>
    </w:r>
    <w:r w:rsidR="00431BC8" w:rsidRPr="009423FB">
      <w:rPr>
        <w:rStyle w:val="PageNumber"/>
        <w:rFonts w:ascii="Times New Roman" w:hAnsi="Times New Roman"/>
        <w:sz w:val="18"/>
        <w:szCs w:val="18"/>
      </w:rPr>
      <w:fldChar w:fldCharType="end"/>
    </w:r>
  </w:p>
  <w:p w:rsidR="001D5756" w:rsidRPr="009423FB" w:rsidRDefault="00431BC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6A5F84" w:rsidRDefault="00431BC8"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B4F" w:rsidRPr="006A5F84" w:rsidRDefault="00430B4F">
      <w:r w:rsidRPr="006A5F84">
        <w:separator/>
      </w:r>
    </w:p>
  </w:footnote>
  <w:footnote w:type="continuationSeparator" w:id="1">
    <w:p w:rsidR="00430B4F" w:rsidRPr="006A5F84" w:rsidRDefault="00430B4F">
      <w:r w:rsidRPr="006A5F84">
        <w:continuationSeparator/>
      </w:r>
    </w:p>
  </w:footnote>
  <w:footnote w:id="2">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4">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B92093"/>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3"/>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28"/>
  </w:num>
  <w:num w:numId="30">
    <w:abstractNumId w:val="25"/>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ZW"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552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007"/>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110C"/>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2E27"/>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5A67"/>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5676"/>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4E9E"/>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127"/>
    <w:rsid w:val="003F2375"/>
    <w:rsid w:val="003F2FA4"/>
    <w:rsid w:val="003F3A6F"/>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4F"/>
    <w:rsid w:val="00430BD0"/>
    <w:rsid w:val="004316F0"/>
    <w:rsid w:val="00431BC8"/>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425"/>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02E"/>
    <w:rsid w:val="00710379"/>
    <w:rsid w:val="00711C72"/>
    <w:rsid w:val="0071243A"/>
    <w:rsid w:val="00715B35"/>
    <w:rsid w:val="00723C11"/>
    <w:rsid w:val="00724D0C"/>
    <w:rsid w:val="007253FF"/>
    <w:rsid w:val="00726317"/>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1BC"/>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B6639"/>
    <w:rsid w:val="007C0BDD"/>
    <w:rsid w:val="007C1656"/>
    <w:rsid w:val="007C4F61"/>
    <w:rsid w:val="007C6835"/>
    <w:rsid w:val="007C75E0"/>
    <w:rsid w:val="007D02BE"/>
    <w:rsid w:val="007D06B4"/>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7A5"/>
    <w:rsid w:val="00822BEB"/>
    <w:rsid w:val="00822E7E"/>
    <w:rsid w:val="008272ED"/>
    <w:rsid w:val="008304D0"/>
    <w:rsid w:val="00830ACF"/>
    <w:rsid w:val="0083104D"/>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85E82"/>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456C"/>
    <w:rsid w:val="0093582A"/>
    <w:rsid w:val="009423FB"/>
    <w:rsid w:val="00943C7B"/>
    <w:rsid w:val="0094670B"/>
    <w:rsid w:val="00947FC3"/>
    <w:rsid w:val="00950813"/>
    <w:rsid w:val="009514EC"/>
    <w:rsid w:val="00961615"/>
    <w:rsid w:val="00980A42"/>
    <w:rsid w:val="00985BEF"/>
    <w:rsid w:val="00986D62"/>
    <w:rsid w:val="00990FF8"/>
    <w:rsid w:val="00993BBD"/>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4C61"/>
    <w:rsid w:val="00A46C6E"/>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D6302"/>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026"/>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24C7"/>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6C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5492"/>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1F3"/>
    <w:rsid w:val="00E82463"/>
    <w:rsid w:val="00E84351"/>
    <w:rsid w:val="00E84F50"/>
    <w:rsid w:val="00E85F91"/>
    <w:rsid w:val="00E91347"/>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3119"/>
    <w:rsid w:val="00F45106"/>
    <w:rsid w:val="00F4528C"/>
    <w:rsid w:val="00F5422C"/>
    <w:rsid w:val="00F560DD"/>
    <w:rsid w:val="00F56D4C"/>
    <w:rsid w:val="00F63914"/>
    <w:rsid w:val="00F652E9"/>
    <w:rsid w:val="00F658F3"/>
    <w:rsid w:val="00F65A20"/>
    <w:rsid w:val="00F676D0"/>
    <w:rsid w:val="00F679ED"/>
    <w:rsid w:val="00F67C74"/>
    <w:rsid w:val="00F67D26"/>
    <w:rsid w:val="00F70AF3"/>
    <w:rsid w:val="00F72E3C"/>
    <w:rsid w:val="00F73A7B"/>
    <w:rsid w:val="00F75423"/>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dravkostojanov@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2992</TotalTime>
  <Pages>14</Pages>
  <Words>5607</Words>
  <Characters>31960</Characters>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2018-04-13T13:21:00Z</cp:lastPrinted>
  <dcterms:created xsi:type="dcterms:W3CDTF">2018-12-18T11:39:00Z</dcterms:created>
  <dcterms:modified xsi:type="dcterms:W3CDTF">2025-06-11T10:31:00Z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