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BE0D1C">
      <w:pPr>
        <w:jc w:val="center"/>
        <w:rPr>
          <w:sz w:val="28"/>
          <w:szCs w:val="28"/>
          <w:lang w:val="en-GB"/>
        </w:rPr>
      </w:pPr>
      <w:r w:rsidRPr="00BE0D1C">
        <w:rPr>
          <w:rStyle w:val="Strong"/>
          <w:sz w:val="28"/>
          <w:szCs w:val="28"/>
          <w:lang w:val="en-GB"/>
        </w:rPr>
        <w:t>Combined construction machine</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Golubac</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BE0D1C">
      <w:pPr>
        <w:pStyle w:val="Blockquote"/>
        <w:rPr>
          <w:i/>
          <w:sz w:val="22"/>
          <w:szCs w:val="22"/>
          <w:lang w:val="en-GB"/>
        </w:rPr>
      </w:pPr>
      <w:r w:rsidRPr="00BE0D1C">
        <w:rPr>
          <w:rStyle w:val="Emphasis"/>
          <w:i w:val="0"/>
          <w:sz w:val="22"/>
          <w:szCs w:val="22"/>
          <w:lang w:val="en-GB"/>
        </w:rPr>
        <w:t>RORS00239/Municipality of Golubac/TD1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710FBE" w:rsidP="00FC2715">
      <w:pPr>
        <w:pStyle w:val="Blockquote"/>
        <w:rPr>
          <w:rStyle w:val="Emphasis"/>
          <w:i w:val="0"/>
          <w:color w:val="FF0000"/>
        </w:rPr>
      </w:pPr>
      <w:r w:rsidRPr="008F5610">
        <w:rPr>
          <w:rStyle w:val="Emphasis"/>
          <w:i w:val="0"/>
        </w:rPr>
        <w:t>Local open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BE0D1C">
        <w:rPr>
          <w:lang w:val="en-GB"/>
        </w:rPr>
        <w:t>239</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C01998" w:rsidP="00B33EE6">
      <w:pPr>
        <w:ind w:left="357" w:right="357"/>
        <w:jc w:val="both"/>
        <w:rPr>
          <w:rStyle w:val="Emphasis"/>
          <w:i w:val="0"/>
          <w:sz w:val="22"/>
          <w:szCs w:val="22"/>
          <w:lang w:val="en-GB"/>
        </w:rPr>
      </w:pPr>
      <w:r w:rsidRPr="00C01998">
        <w:rPr>
          <w:rStyle w:val="Emphasis"/>
          <w:i w:val="0"/>
          <w:sz w:val="22"/>
          <w:szCs w:val="22"/>
          <w:lang w:val="en-GB"/>
        </w:rPr>
        <w:t>Municipality of Golubac, Cara Lazara 15, 12223 Golubac, Republic of Serbia</w:t>
      </w:r>
    </w:p>
    <w:p w:rsidR="006F5FD0" w:rsidRPr="00B33EE6" w:rsidRDefault="00CC3CC6">
      <w:pPr>
        <w:rPr>
          <w:sz w:val="22"/>
          <w:szCs w:val="22"/>
          <w:lang w:val="en-GB"/>
        </w:rPr>
      </w:pPr>
      <w:r w:rsidRPr="00CC3CC6">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BE0D1C" w:rsidRPr="00BE0D1C">
        <w:rPr>
          <w:rStyle w:val="Emphasis"/>
          <w:i w:val="0"/>
          <w:sz w:val="22"/>
          <w:szCs w:val="22"/>
          <w:lang w:val="en-GB"/>
        </w:rPr>
        <w:t>Combined construction machine</w:t>
      </w:r>
      <w:r>
        <w:rPr>
          <w:rStyle w:val="Emphasis"/>
          <w:i w:val="0"/>
          <w:sz w:val="22"/>
          <w:szCs w:val="22"/>
          <w:lang w:val="en-GB"/>
        </w:rPr>
        <w:t xml:space="preserve"> necessary for support of implementation EU funded project “</w:t>
      </w:r>
      <w:r w:rsidR="00BE0D1C" w:rsidRPr="00BE0D1C">
        <w:rPr>
          <w:rStyle w:val="Emphasis"/>
          <w:i w:val="0"/>
          <w:sz w:val="22"/>
          <w:szCs w:val="22"/>
          <w:lang w:val="en-GB"/>
        </w:rPr>
        <w:t>Common challenges, common solutions</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CC3CC6">
      <w:pPr>
        <w:pStyle w:val="Blockquote"/>
        <w:jc w:val="both"/>
        <w:rPr>
          <w:sz w:val="22"/>
          <w:szCs w:val="22"/>
          <w:lang w:val="en-GB"/>
        </w:rPr>
      </w:pPr>
      <w:r w:rsidRPr="00CC3CC6">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CC3CC6"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CC3CC6"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CC3CC6"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CC3CC6">
      <w:pPr>
        <w:keepNext/>
        <w:jc w:val="center"/>
        <w:rPr>
          <w:sz w:val="28"/>
          <w:szCs w:val="28"/>
          <w:lang w:val="en-GB"/>
        </w:rPr>
      </w:pPr>
      <w:r w:rsidRPr="00CC3CC6">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C01998" w:rsidP="00571687">
      <w:pPr>
        <w:pStyle w:val="Blockquote"/>
        <w:jc w:val="both"/>
        <w:rPr>
          <w:i/>
          <w:sz w:val="22"/>
          <w:szCs w:val="22"/>
          <w:lang w:val="en-GB"/>
        </w:rPr>
      </w:pPr>
      <w:r>
        <w:rPr>
          <w:rStyle w:val="Emphasis"/>
          <w:i w:val="0"/>
          <w:sz w:val="22"/>
          <w:szCs w:val="22"/>
          <w:lang w:val="en-GB"/>
        </w:rPr>
        <w:t>11</w:t>
      </w:r>
      <w:r w:rsidR="008459D7">
        <w:rPr>
          <w:rStyle w:val="Emphasis"/>
          <w:i w:val="0"/>
          <w:sz w:val="22"/>
          <w:szCs w:val="22"/>
          <w:lang w:val="en-GB"/>
        </w:rPr>
        <w:t>.</w:t>
      </w:r>
      <w:r w:rsidR="00A85033">
        <w:rPr>
          <w:rStyle w:val="Emphasis"/>
          <w:i w:val="0"/>
          <w:sz w:val="22"/>
          <w:szCs w:val="22"/>
          <w:lang w:val="en-GB"/>
        </w:rPr>
        <w:t>0</w:t>
      </w:r>
      <w:r w:rsidR="00EF6B14">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C01998" w:rsidP="00571687">
      <w:pPr>
        <w:pStyle w:val="Blockquote"/>
        <w:jc w:val="both"/>
        <w:rPr>
          <w:i/>
          <w:sz w:val="22"/>
          <w:szCs w:val="22"/>
          <w:lang w:val="en-GB"/>
        </w:rPr>
      </w:pPr>
      <w:r>
        <w:rPr>
          <w:rStyle w:val="Emphasis"/>
          <w:i w:val="0"/>
          <w:sz w:val="22"/>
          <w:szCs w:val="22"/>
          <w:lang w:val="en-GB"/>
        </w:rPr>
        <w:t>30 days</w:t>
      </w:r>
    </w:p>
    <w:p w:rsidR="006F5FD0" w:rsidRPr="00B33EE6" w:rsidRDefault="00CC3CC6">
      <w:pPr>
        <w:rPr>
          <w:sz w:val="22"/>
          <w:szCs w:val="22"/>
          <w:lang w:val="en-GB"/>
        </w:rPr>
      </w:pPr>
      <w:r w:rsidRPr="00CC3CC6">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C01998">
        <w:rPr>
          <w:sz w:val="22"/>
          <w:szCs w:val="22"/>
          <w:lang w:val="en-GB"/>
        </w:rPr>
        <w:t>154</w:t>
      </w:r>
      <w:r w:rsidR="000A42D9" w:rsidRPr="008F5610">
        <w:rPr>
          <w:sz w:val="22"/>
          <w:szCs w:val="22"/>
          <w:lang w:val="en-GB"/>
        </w:rPr>
        <w:t>.</w:t>
      </w:r>
      <w:r w:rsidR="00C01998">
        <w:rPr>
          <w:sz w:val="22"/>
          <w:szCs w:val="22"/>
          <w:lang w:val="en-GB"/>
        </w:rPr>
        <w:t>8</w:t>
      </w:r>
      <w:r w:rsidR="00EF6B14" w:rsidRPr="008F5610">
        <w:rPr>
          <w:sz w:val="22"/>
          <w:szCs w:val="22"/>
          <w:lang w:val="en-GB"/>
        </w:rPr>
        <w:t>00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CC3CC6">
      <w:pPr>
        <w:rPr>
          <w:sz w:val="22"/>
          <w:szCs w:val="22"/>
          <w:lang w:val="en-GB"/>
        </w:rPr>
      </w:pPr>
      <w:r w:rsidRPr="00CC3CC6">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EF6B14">
        <w:rPr>
          <w:rStyle w:val="Emphasis"/>
          <w:i w:val="0"/>
          <w:sz w:val="22"/>
          <w:szCs w:val="22"/>
          <w:lang w:val="en-GB"/>
        </w:rPr>
        <w:t>2</w:t>
      </w:r>
      <w:r w:rsidR="00C01998">
        <w:rPr>
          <w:rStyle w:val="Emphasis"/>
          <w:i w:val="0"/>
          <w:sz w:val="22"/>
          <w:szCs w:val="22"/>
          <w:lang w:val="en-GB"/>
        </w:rPr>
        <w:t>8</w:t>
      </w:r>
      <w:r w:rsidR="000A42D9" w:rsidRPr="000A42D9">
        <w:rPr>
          <w:rStyle w:val="Emphasis"/>
          <w:i w:val="0"/>
          <w:sz w:val="22"/>
          <w:szCs w:val="22"/>
          <w:lang w:val="en-GB"/>
        </w:rPr>
        <w:t>.03.2025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CC3CC6"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0A42D9">
        <w:rPr>
          <w:sz w:val="22"/>
          <w:szCs w:val="22"/>
          <w:lang w:val="en-GB"/>
        </w:rPr>
        <w:t>February</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611" w:rsidRDefault="009E1611">
      <w:r>
        <w:separator/>
      </w:r>
    </w:p>
  </w:endnote>
  <w:endnote w:type="continuationSeparator" w:id="1">
    <w:p w:rsidR="009E1611" w:rsidRDefault="009E16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CC3CC6"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CC3CC6" w:rsidRPr="00B33EE6">
      <w:rPr>
        <w:rStyle w:val="PageNumber"/>
        <w:sz w:val="18"/>
        <w:szCs w:val="18"/>
        <w:lang w:val="en-GB"/>
      </w:rPr>
      <w:fldChar w:fldCharType="separate"/>
    </w:r>
    <w:r w:rsidR="00C01998">
      <w:rPr>
        <w:rStyle w:val="PageNumber"/>
        <w:noProof/>
        <w:sz w:val="18"/>
        <w:szCs w:val="18"/>
        <w:lang w:val="en-GB"/>
      </w:rPr>
      <w:t>6</w:t>
    </w:r>
    <w:r w:rsidR="00CC3CC6"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C01998" w:rsidRPr="00C01998">
        <w:rPr>
          <w:rStyle w:val="PageNumber"/>
          <w:noProof/>
          <w:sz w:val="18"/>
          <w:szCs w:val="18"/>
          <w:lang w:val="en-GB"/>
        </w:rPr>
        <w:t>6</w:t>
      </w:r>
    </w:fldSimple>
  </w:p>
  <w:p w:rsidR="00EF0A8C" w:rsidRPr="00B33EE6" w:rsidRDefault="00CC3CC6"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611" w:rsidRDefault="009E1611">
      <w:r>
        <w:separator/>
      </w:r>
    </w:p>
  </w:footnote>
  <w:footnote w:type="continuationSeparator" w:id="1">
    <w:p w:rsidR="009E1611" w:rsidRDefault="009E16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342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1611"/>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0D1C"/>
    <w:rsid w:val="00BE3544"/>
    <w:rsid w:val="00BE595A"/>
    <w:rsid w:val="00BE5F29"/>
    <w:rsid w:val="00BE783C"/>
    <w:rsid w:val="00C00D44"/>
    <w:rsid w:val="00C01998"/>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3CC6"/>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00B1"/>
    <w:rsid w:val="00FC2715"/>
    <w:rsid w:val="00FC622D"/>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6</Pages>
  <Words>1746</Words>
  <Characters>9957</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2025-02-20T21:10:00Z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