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FD0" w:rsidRPr="00B33EE6" w:rsidRDefault="006F5FD0">
      <w:pPr>
        <w:jc w:val="center"/>
        <w:rPr>
          <w:rStyle w:val="Strong"/>
          <w:sz w:val="28"/>
          <w:szCs w:val="28"/>
          <w:lang w:val="en-GB"/>
        </w:rPr>
      </w:pPr>
      <w:r w:rsidRPr="00B33EE6">
        <w:rPr>
          <w:b/>
          <w:sz w:val="28"/>
          <w:szCs w:val="28"/>
          <w:lang w:val="en-GB"/>
        </w:rPr>
        <w:t>S</w:t>
      </w:r>
      <w:r w:rsidR="00DE3C11">
        <w:rPr>
          <w:b/>
          <w:sz w:val="28"/>
          <w:szCs w:val="28"/>
          <w:lang w:val="en-GB"/>
        </w:rPr>
        <w:t>UPPLY</w:t>
      </w:r>
      <w:r w:rsidR="00891C82">
        <w:rPr>
          <w:b/>
          <w:sz w:val="28"/>
          <w:szCs w:val="28"/>
          <w:lang w:val="en-GB"/>
        </w:rPr>
        <w:t xml:space="preserve"> </w:t>
      </w:r>
      <w:r w:rsidR="00FA17FC" w:rsidRPr="00B33EE6">
        <w:rPr>
          <w:b/>
          <w:sz w:val="28"/>
          <w:szCs w:val="28"/>
          <w:lang w:val="en-GB"/>
        </w:rPr>
        <w:t xml:space="preserve">CONTRACT </w:t>
      </w:r>
      <w:r w:rsidRPr="00B33EE6">
        <w:rPr>
          <w:b/>
          <w:sz w:val="28"/>
          <w:szCs w:val="28"/>
          <w:lang w:val="en-GB"/>
        </w:rPr>
        <w:t>NOTICE</w:t>
      </w:r>
    </w:p>
    <w:p w:rsidR="006F5FD0" w:rsidRPr="00B33EE6" w:rsidRDefault="00B87F17">
      <w:pPr>
        <w:jc w:val="center"/>
        <w:rPr>
          <w:sz w:val="28"/>
          <w:szCs w:val="28"/>
          <w:lang w:val="en-GB"/>
        </w:rPr>
      </w:pPr>
      <w:r w:rsidRPr="00B87F17">
        <w:rPr>
          <w:rStyle w:val="Strong"/>
          <w:sz w:val="28"/>
          <w:szCs w:val="28"/>
          <w:lang w:val="en-GB"/>
        </w:rPr>
        <w:t>Vehicle with trailer</w:t>
      </w:r>
      <w:r w:rsidR="006F5FD0" w:rsidRPr="00B33EE6">
        <w:rPr>
          <w:rStyle w:val="Strong"/>
          <w:sz w:val="28"/>
          <w:szCs w:val="28"/>
          <w:lang w:val="en-GB"/>
        </w:rPr>
        <w:br/>
      </w:r>
      <w:r w:rsidR="006F5FD0" w:rsidRPr="00FC2715">
        <w:rPr>
          <w:rStyle w:val="Strong"/>
          <w:sz w:val="28"/>
          <w:szCs w:val="28"/>
          <w:lang w:val="en-GB"/>
        </w:rPr>
        <w:t xml:space="preserve">Location </w:t>
      </w:r>
      <w:r w:rsidR="00FC2715" w:rsidRPr="00FC2715">
        <w:rPr>
          <w:rStyle w:val="Strong"/>
          <w:sz w:val="28"/>
          <w:szCs w:val="28"/>
          <w:lang w:val="en-GB"/>
        </w:rPr>
        <w:t xml:space="preserve">– </w:t>
      </w:r>
      <w:r w:rsidR="00E92DD8">
        <w:rPr>
          <w:rStyle w:val="Strong"/>
          <w:sz w:val="28"/>
          <w:szCs w:val="28"/>
          <w:lang w:val="en-GB"/>
        </w:rPr>
        <w:t>Bela Crkva</w:t>
      </w:r>
      <w:r w:rsidR="00FC2715" w:rsidRPr="00FC2715">
        <w:rPr>
          <w:rStyle w:val="Strong"/>
          <w:sz w:val="28"/>
          <w:szCs w:val="28"/>
          <w:lang w:val="en-GB"/>
        </w:rPr>
        <w:t>/Serbia</w:t>
      </w:r>
    </w:p>
    <w:p w:rsidR="00571687" w:rsidRPr="00B33EE6" w:rsidRDefault="00FC2715" w:rsidP="00FC2715">
      <w:pPr>
        <w:outlineLvl w:val="0"/>
        <w:rPr>
          <w:rStyle w:val="Strong"/>
          <w:sz w:val="22"/>
          <w:szCs w:val="22"/>
          <w:lang w:val="en-GB"/>
        </w:rPr>
      </w:pPr>
      <w:r>
        <w:rPr>
          <w:rStyle w:val="Strong"/>
          <w:sz w:val="22"/>
          <w:szCs w:val="22"/>
          <w:lang w:val="en-GB"/>
        </w:rPr>
        <w:t xml:space="preserve"> </w:t>
      </w:r>
    </w:p>
    <w:p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rsidR="006F5FD0" w:rsidRPr="00B33EE6" w:rsidRDefault="00E92DD8">
      <w:pPr>
        <w:pStyle w:val="Blockquote"/>
        <w:rPr>
          <w:i/>
          <w:sz w:val="22"/>
          <w:szCs w:val="22"/>
          <w:lang w:val="en-GB"/>
        </w:rPr>
      </w:pPr>
      <w:r w:rsidRPr="00E92DD8">
        <w:rPr>
          <w:rStyle w:val="Emphasis"/>
          <w:i w:val="0"/>
          <w:sz w:val="22"/>
          <w:szCs w:val="22"/>
          <w:lang w:val="en-GB"/>
        </w:rPr>
        <w:t>RORS127/Municipality of Bela Crkva/TD5</w:t>
      </w:r>
    </w:p>
    <w:p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rsidR="006F5FD0" w:rsidRPr="00891C82" w:rsidRDefault="00BD0ECC" w:rsidP="00FC2715">
      <w:pPr>
        <w:pStyle w:val="Blockquote"/>
        <w:rPr>
          <w:rStyle w:val="Emphasis"/>
          <w:i w:val="0"/>
          <w:color w:val="FF0000"/>
        </w:rPr>
      </w:pPr>
      <w:r>
        <w:rPr>
          <w:rStyle w:val="Emphasis"/>
          <w:i w:val="0"/>
        </w:rPr>
        <w:t>Simplified</w:t>
      </w:r>
      <w:r w:rsidR="00710FBE" w:rsidRPr="008F5610">
        <w:rPr>
          <w:rStyle w:val="Emphasis"/>
          <w:i w:val="0"/>
        </w:rPr>
        <w:t xml:space="preserve"> tender procedure</w:t>
      </w:r>
    </w:p>
    <w:p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rsidR="00971962" w:rsidRPr="00B33EE6" w:rsidRDefault="001358A6" w:rsidP="00B33EE6">
      <w:pPr>
        <w:pStyle w:val="PRAGHeading2"/>
        <w:numPr>
          <w:ilvl w:val="0"/>
          <w:numId w:val="0"/>
        </w:numPr>
        <w:ind w:left="357" w:right="357"/>
        <w:rPr>
          <w:lang w:val="en-GB"/>
        </w:rPr>
      </w:pPr>
      <w:r>
        <w:rPr>
          <w:lang w:val="en-GB"/>
        </w:rPr>
        <w:t>Interreg IPA</w:t>
      </w:r>
      <w:r w:rsidR="000E2079" w:rsidRPr="007E42D3">
        <w:rPr>
          <w:lang w:val="en-GB"/>
        </w:rPr>
        <w:t xml:space="preserve"> Romania- Serbia Programme</w:t>
      </w:r>
      <w:r w:rsidR="000E2079">
        <w:rPr>
          <w:lang w:val="en-GB"/>
        </w:rPr>
        <w:t xml:space="preserve"> / </w:t>
      </w:r>
      <w:r w:rsidR="000E2079" w:rsidRPr="007E42D3">
        <w:rPr>
          <w:lang w:val="en-GB"/>
        </w:rPr>
        <w:t>RORS00</w:t>
      </w:r>
      <w:r w:rsidR="00E92DD8">
        <w:rPr>
          <w:lang w:val="en-GB"/>
        </w:rPr>
        <w:t>127</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bookmarkStart w:id="0" w:name="_GoBack"/>
      <w:bookmarkEnd w:id="0"/>
    </w:p>
    <w:p w:rsidR="00502217" w:rsidRPr="00B33EE6" w:rsidRDefault="000E2079" w:rsidP="00502217">
      <w:pPr>
        <w:pStyle w:val="Blockquote"/>
        <w:jc w:val="both"/>
        <w:rPr>
          <w:sz w:val="22"/>
          <w:szCs w:val="22"/>
          <w:lang w:val="en-GB"/>
        </w:rPr>
      </w:pPr>
      <w:r w:rsidRPr="007E42D3">
        <w:rPr>
          <w:rStyle w:val="Emphasis"/>
          <w:i w:val="0"/>
          <w:sz w:val="22"/>
          <w:szCs w:val="22"/>
          <w:lang w:val="en-GB"/>
        </w:rPr>
        <w:t>financing agreement</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rsidR="006F5FD0" w:rsidRDefault="00E92DD8" w:rsidP="00B33EE6">
      <w:pPr>
        <w:ind w:left="357" w:right="357"/>
        <w:jc w:val="both"/>
        <w:rPr>
          <w:rStyle w:val="Emphasis"/>
          <w:i w:val="0"/>
          <w:sz w:val="22"/>
          <w:szCs w:val="22"/>
          <w:lang w:val="en-GB"/>
        </w:rPr>
      </w:pPr>
      <w:r w:rsidRPr="00E92DD8">
        <w:rPr>
          <w:rStyle w:val="Emphasis"/>
          <w:i w:val="0"/>
          <w:sz w:val="22"/>
          <w:szCs w:val="22"/>
          <w:lang w:val="en-GB"/>
        </w:rPr>
        <w:t>Municipality of Bela Crkva Miletićeva 2, 26340 Bela Crkva, Republic of Serbia</w:t>
      </w:r>
    </w:p>
    <w:p w:rsidR="006F5FD0" w:rsidRPr="00B33EE6" w:rsidRDefault="00BA1CAC">
      <w:pPr>
        <w:rPr>
          <w:sz w:val="22"/>
          <w:szCs w:val="22"/>
          <w:lang w:val="en-GB"/>
        </w:rPr>
      </w:pPr>
      <w:r w:rsidRPr="00BA1CAC">
        <w:rPr>
          <w:snapToGrid/>
          <w:sz w:val="22"/>
          <w:szCs w:val="22"/>
          <w:lang w:val="en-GB"/>
        </w:rPr>
        <w:pict>
          <v:line id="_x0000_s1027" style="position:absolute;z-index:251655680" from="0,12pt" to="468pt,12.05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CONTRACT SPECIFICATION</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rsidR="006F5FD0" w:rsidRPr="00B33EE6" w:rsidRDefault="008A1184">
      <w:pPr>
        <w:pStyle w:val="Blockquote"/>
        <w:jc w:val="both"/>
        <w:rPr>
          <w:i/>
          <w:sz w:val="22"/>
          <w:szCs w:val="22"/>
          <w:lang w:val="en-GB"/>
        </w:rPr>
      </w:pPr>
      <w:r w:rsidRPr="000E2079">
        <w:rPr>
          <w:rStyle w:val="Emphasis"/>
          <w:i w:val="0"/>
          <w:sz w:val="22"/>
          <w:szCs w:val="22"/>
          <w:lang w:val="en-GB"/>
        </w:rPr>
        <w:t>unit-price</w:t>
      </w:r>
    </w:p>
    <w:p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rsidR="006F5FD0" w:rsidRPr="00B33EE6" w:rsidRDefault="000E2079">
      <w:pPr>
        <w:pStyle w:val="Blockquote"/>
        <w:jc w:val="both"/>
        <w:rPr>
          <w:i/>
          <w:sz w:val="22"/>
          <w:szCs w:val="22"/>
          <w:lang w:val="en-GB"/>
        </w:rPr>
      </w:pPr>
      <w:r>
        <w:rPr>
          <w:rStyle w:val="Emphasis"/>
          <w:i w:val="0"/>
          <w:sz w:val="22"/>
          <w:szCs w:val="22"/>
          <w:lang w:val="en-GB"/>
        </w:rPr>
        <w:t xml:space="preserve">Contracting Authority intends to sign supply contract for procurement of </w:t>
      </w:r>
      <w:r w:rsidR="00B87F17" w:rsidRPr="00B87F17">
        <w:rPr>
          <w:rStyle w:val="Emphasis"/>
          <w:i w:val="0"/>
          <w:sz w:val="22"/>
          <w:szCs w:val="22"/>
          <w:lang w:val="en-GB"/>
        </w:rPr>
        <w:t>Vehicle with trailer</w:t>
      </w:r>
      <w:r>
        <w:rPr>
          <w:rStyle w:val="Emphasis"/>
          <w:i w:val="0"/>
          <w:sz w:val="22"/>
          <w:szCs w:val="22"/>
          <w:lang w:val="en-GB"/>
        </w:rPr>
        <w:t xml:space="preserve"> necessary for support of implementation EU funded project “</w:t>
      </w:r>
      <w:r w:rsidR="00B87F17" w:rsidRPr="00B87F17">
        <w:rPr>
          <w:rStyle w:val="Emphasis"/>
          <w:i w:val="0"/>
          <w:sz w:val="22"/>
          <w:szCs w:val="22"/>
          <w:lang w:val="en-GB"/>
        </w:rPr>
        <w:t>CBC Network for Sustainable Use of Natural Resources</w:t>
      </w:r>
      <w:r>
        <w:rPr>
          <w:rStyle w:val="Emphasis"/>
          <w:i w:val="0"/>
          <w:sz w:val="22"/>
          <w:szCs w:val="22"/>
          <w:lang w:val="en-GB"/>
        </w:rPr>
        <w:t xml:space="preserve">” funded under </w:t>
      </w:r>
      <w:r w:rsidRPr="007E42D3">
        <w:rPr>
          <w:lang w:val="en-GB"/>
        </w:rPr>
        <w:t>Interreg IPA Romania- Serbia Programme</w:t>
      </w:r>
      <w:r>
        <w:rPr>
          <w:lang w:val="en-GB"/>
        </w:rPr>
        <w:t>.</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rsidR="00DA0ABA" w:rsidRPr="00B33EE6" w:rsidRDefault="00364564" w:rsidP="000E2079">
      <w:pPr>
        <w:ind w:left="709" w:hanging="349"/>
        <w:outlineLvl w:val="0"/>
        <w:rPr>
          <w:rStyle w:val="Emphasis"/>
          <w:i w:val="0"/>
          <w:sz w:val="22"/>
          <w:szCs w:val="22"/>
          <w:lang w:val="en-GB"/>
        </w:rPr>
      </w:pPr>
      <w:r w:rsidRPr="000E2079">
        <w:rPr>
          <w:rStyle w:val="Emphasis"/>
          <w:i w:val="0"/>
          <w:sz w:val="22"/>
          <w:szCs w:val="22"/>
          <w:lang w:val="en-GB"/>
        </w:rPr>
        <w:t>O</w:t>
      </w:r>
      <w:r w:rsidR="00DA0ABA" w:rsidRPr="000E2079">
        <w:rPr>
          <w:rStyle w:val="Emphasis"/>
          <w:i w:val="0"/>
          <w:sz w:val="22"/>
          <w:szCs w:val="22"/>
          <w:lang w:val="en-GB"/>
        </w:rPr>
        <w:t>ne lot only</w:t>
      </w:r>
    </w:p>
    <w:p w:rsidR="00971962" w:rsidRPr="008F5610" w:rsidRDefault="006F5FD0" w:rsidP="008660AD">
      <w:pPr>
        <w:ind w:left="709" w:hanging="349"/>
        <w:outlineLvl w:val="0"/>
        <w:rPr>
          <w:sz w:val="22"/>
          <w:szCs w:val="22"/>
          <w:highlight w:val="yellow"/>
        </w:rPr>
      </w:pPr>
      <w:r w:rsidRPr="008F5610">
        <w:rPr>
          <w:rStyle w:val="Strong"/>
          <w:sz w:val="22"/>
          <w:szCs w:val="22"/>
          <w:lang w:val="en-GB"/>
        </w:rPr>
        <w:t xml:space="preserve">9. </w:t>
      </w:r>
      <w:r w:rsidR="00584BF4" w:rsidRPr="008F5610">
        <w:rPr>
          <w:rStyle w:val="Strong"/>
          <w:sz w:val="22"/>
          <w:szCs w:val="22"/>
          <w:lang w:val="en-GB"/>
        </w:rPr>
        <w:tab/>
      </w:r>
    </w:p>
    <w:p w:rsidR="006F5FD0" w:rsidRPr="00B33EE6" w:rsidRDefault="00BA1CAC">
      <w:pPr>
        <w:pStyle w:val="Blockquote"/>
        <w:jc w:val="both"/>
        <w:rPr>
          <w:sz w:val="22"/>
          <w:szCs w:val="22"/>
          <w:lang w:val="en-GB"/>
        </w:rPr>
      </w:pPr>
      <w:r w:rsidRPr="00BA1CAC">
        <w:rPr>
          <w:snapToGrid/>
          <w:sz w:val="22"/>
          <w:szCs w:val="22"/>
          <w:lang w:val="en-GB"/>
        </w:rPr>
        <w:pict>
          <v:line id="_x0000_s1028" style="position:absolute;left:0;text-align:left;z-index:251656704" from="-1.05pt,17.55pt" to="466.95pt,17.6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CONDITIONS OF PARTICIPATION</w:t>
      </w:r>
    </w:p>
    <w:p w:rsidR="00B9793F" w:rsidRDefault="00B9793F" w:rsidP="008660AD">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rsidR="00326B16" w:rsidRPr="00D97139" w:rsidRDefault="00326B16" w:rsidP="008660AD">
      <w:pPr>
        <w:pStyle w:val="FootnoteText"/>
        <w:ind w:firstLine="426"/>
        <w:rPr>
          <w:rStyle w:val="Strong"/>
          <w:sz w:val="22"/>
          <w:szCs w:val="22"/>
          <w:lang w:val="en-GB"/>
        </w:rPr>
      </w:pPr>
    </w:p>
    <w:p w:rsidR="000E2079" w:rsidRPr="00817C22" w:rsidRDefault="000E2079" w:rsidP="000E2079">
      <w:pPr>
        <w:pStyle w:val="paragraph"/>
        <w:numPr>
          <w:ilvl w:val="0"/>
          <w:numId w:val="47"/>
        </w:numPr>
        <w:spacing w:before="0" w:beforeAutospacing="0" w:after="0" w:afterAutospacing="0"/>
        <w:jc w:val="both"/>
        <w:textAlignment w:val="baseline"/>
        <w:rPr>
          <w:iCs/>
          <w:sz w:val="22"/>
          <w:szCs w:val="22"/>
          <w:lang w:val="en-IE"/>
        </w:rPr>
      </w:pPr>
      <w:r w:rsidRPr="00817C22">
        <w:rPr>
          <w:iCs/>
          <w:sz w:val="22"/>
          <w:szCs w:val="22"/>
          <w:lang w:val="en-IE"/>
        </w:rPr>
        <w:lastRenderedPageBreak/>
        <w:t xml:space="preserve">The legal basis of this procedure is </w:t>
      </w:r>
      <w:hyperlink r:id="rId11" w:history="1">
        <w:r w:rsidRPr="006B6D05">
          <w:rPr>
            <w:sz w:val="22"/>
            <w:szCs w:val="22"/>
          </w:rPr>
          <w:t>REGULATION (EU) 2021/1529 OF THE EUROPEAN PARLIAMENT AND OF THE COUNCIL of 15 September 2021 establishing the Instrument for Pre-Accession assistance (IPA III)</w:t>
        </w:r>
      </w:hyperlink>
    </w:p>
    <w:p w:rsidR="000E2079" w:rsidRPr="00817C22" w:rsidRDefault="000E2079" w:rsidP="000E2079">
      <w:pPr>
        <w:widowControl/>
        <w:autoSpaceDE w:val="0"/>
        <w:autoSpaceDN w:val="0"/>
        <w:adjustRightInd w:val="0"/>
        <w:spacing w:before="0" w:after="0"/>
        <w:ind w:left="1134"/>
        <w:jc w:val="both"/>
        <w:rPr>
          <w:snapToGrid/>
          <w:sz w:val="22"/>
          <w:szCs w:val="22"/>
        </w:rPr>
      </w:pPr>
      <w:r w:rsidRPr="00817C22">
        <w:rPr>
          <w:b/>
          <w:bCs/>
          <w:i/>
          <w:iCs/>
          <w:snapToGrid/>
          <w:sz w:val="22"/>
          <w:szCs w:val="22"/>
        </w:rPr>
        <w:t xml:space="preserve">Rule of Nationality: </w:t>
      </w:r>
      <w:r w:rsidRPr="00817C22">
        <w:rPr>
          <w:snapToGrid/>
          <w:sz w:val="22"/>
          <w:szCs w:val="22"/>
        </w:rPr>
        <w:t>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rsidR="000E2079" w:rsidRPr="00817C22" w:rsidRDefault="000E2079" w:rsidP="000E2079">
      <w:pPr>
        <w:widowControl/>
        <w:autoSpaceDE w:val="0"/>
        <w:autoSpaceDN w:val="0"/>
        <w:adjustRightInd w:val="0"/>
        <w:spacing w:before="0" w:after="0"/>
        <w:ind w:left="1134"/>
        <w:jc w:val="both"/>
        <w:rPr>
          <w:snapToGrid/>
          <w:sz w:val="22"/>
          <w:szCs w:val="22"/>
        </w:rPr>
      </w:pPr>
      <w:r w:rsidRPr="00817C22">
        <w:rPr>
          <w:snapToGrid/>
          <w:sz w:val="22"/>
          <w:szCs w:val="22"/>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rsidR="000E2079" w:rsidRPr="00817C22" w:rsidRDefault="000E2079" w:rsidP="000E2079">
      <w:pPr>
        <w:widowControl/>
        <w:autoSpaceDE w:val="0"/>
        <w:autoSpaceDN w:val="0"/>
        <w:adjustRightInd w:val="0"/>
        <w:spacing w:before="0" w:after="0"/>
        <w:ind w:left="1134" w:firstLine="426"/>
        <w:jc w:val="both"/>
        <w:rPr>
          <w:snapToGrid/>
          <w:sz w:val="22"/>
          <w:szCs w:val="22"/>
        </w:rPr>
      </w:pPr>
      <w:r w:rsidRPr="00817C22">
        <w:rPr>
          <w:snapToGrid/>
          <w:sz w:val="22"/>
          <w:szCs w:val="22"/>
        </w:rPr>
        <w:t>a) EU Member States</w:t>
      </w:r>
    </w:p>
    <w:p w:rsidR="000E2079" w:rsidRPr="00817C22" w:rsidRDefault="000E2079" w:rsidP="000E2079">
      <w:pPr>
        <w:widowControl/>
        <w:autoSpaceDE w:val="0"/>
        <w:autoSpaceDN w:val="0"/>
        <w:adjustRightInd w:val="0"/>
        <w:spacing w:before="0" w:after="0"/>
        <w:ind w:left="1134" w:firstLine="426"/>
        <w:jc w:val="both"/>
        <w:rPr>
          <w:snapToGrid/>
          <w:sz w:val="22"/>
          <w:szCs w:val="22"/>
        </w:rPr>
      </w:pPr>
      <w:r w:rsidRPr="00817C22">
        <w:rPr>
          <w:snapToGrid/>
          <w:sz w:val="22"/>
          <w:szCs w:val="22"/>
        </w:rPr>
        <w:t>b) Beneficiaries listed in the Annex I of the IPA III</w:t>
      </w:r>
    </w:p>
    <w:p w:rsidR="000E2079" w:rsidRPr="00817C22" w:rsidRDefault="000E2079" w:rsidP="000E2079">
      <w:pPr>
        <w:widowControl/>
        <w:autoSpaceDE w:val="0"/>
        <w:autoSpaceDN w:val="0"/>
        <w:adjustRightInd w:val="0"/>
        <w:spacing w:before="0" w:after="0"/>
        <w:ind w:left="1134" w:firstLine="426"/>
        <w:jc w:val="both"/>
        <w:rPr>
          <w:snapToGrid/>
          <w:sz w:val="22"/>
          <w:szCs w:val="22"/>
        </w:rPr>
      </w:pPr>
      <w:r w:rsidRPr="00817C22">
        <w:rPr>
          <w:snapToGrid/>
          <w:sz w:val="22"/>
          <w:szCs w:val="22"/>
        </w:rPr>
        <w:t>c) European Economic Area</w:t>
      </w:r>
    </w:p>
    <w:p w:rsidR="000E2079" w:rsidRPr="00817C22" w:rsidRDefault="000E2079" w:rsidP="000E2079">
      <w:pPr>
        <w:widowControl/>
        <w:autoSpaceDE w:val="0"/>
        <w:autoSpaceDN w:val="0"/>
        <w:adjustRightInd w:val="0"/>
        <w:spacing w:before="0" w:after="0"/>
        <w:ind w:left="1560"/>
        <w:jc w:val="both"/>
        <w:rPr>
          <w:rFonts w:ascii="Segoe UI" w:hAnsi="Segoe UI" w:cs="Segoe UI"/>
          <w:sz w:val="22"/>
          <w:szCs w:val="22"/>
          <w:highlight w:val="cyan"/>
          <w:lang w:val="en-GB"/>
        </w:rPr>
      </w:pPr>
      <w:r w:rsidRPr="00817C22">
        <w:rPr>
          <w:sz w:val="22"/>
          <w:szCs w:val="22"/>
        </w:rPr>
        <w:t xml:space="preserve">d) </w:t>
      </w:r>
      <w:r w:rsidRPr="00817C22">
        <w:rPr>
          <w:snapToGrid/>
          <w:sz w:val="22"/>
          <w:szCs w:val="22"/>
        </w:rPr>
        <w:t>Neighbourhood</w:t>
      </w:r>
      <w:r>
        <w:rPr>
          <w:snapToGrid/>
          <w:sz w:val="22"/>
          <w:szCs w:val="22"/>
        </w:rPr>
        <w:t xml:space="preserve"> </w:t>
      </w:r>
      <w:r w:rsidRPr="00817C22">
        <w:rPr>
          <w:snapToGrid/>
          <w:sz w:val="22"/>
          <w:szCs w:val="22"/>
        </w:rPr>
        <w:t>partner</w:t>
      </w:r>
      <w:r w:rsidRPr="00817C22">
        <w:rPr>
          <w:sz w:val="22"/>
          <w:szCs w:val="22"/>
        </w:rPr>
        <w:t xml:space="preserve"> countries and territories</w:t>
      </w:r>
      <w:r>
        <w:rPr>
          <w:sz w:val="22"/>
          <w:szCs w:val="22"/>
        </w:rPr>
        <w:t xml:space="preserve"> </w:t>
      </w:r>
      <w:r w:rsidRPr="00817C22">
        <w:rPr>
          <w:sz w:val="22"/>
          <w:szCs w:val="22"/>
        </w:rPr>
        <w:t>covered by NDICI (annex I of NDICI)</w:t>
      </w:r>
    </w:p>
    <w:p w:rsidR="000E2079" w:rsidRPr="00817C22" w:rsidRDefault="000E2079" w:rsidP="000E2079">
      <w:pPr>
        <w:widowControl/>
        <w:autoSpaceDE w:val="0"/>
        <w:autoSpaceDN w:val="0"/>
        <w:adjustRightInd w:val="0"/>
        <w:spacing w:before="0" w:after="0"/>
        <w:ind w:left="1560"/>
        <w:jc w:val="both"/>
        <w:rPr>
          <w:snapToGrid/>
          <w:sz w:val="22"/>
          <w:szCs w:val="22"/>
        </w:rPr>
      </w:pPr>
      <w:r w:rsidRPr="00817C22">
        <w:rPr>
          <w:snapToGrid/>
          <w:sz w:val="22"/>
          <w:szCs w:val="22"/>
        </w:rPr>
        <w:t>e) Countries for which Commission has adopted a decision approving the request for reciprocal access to external assistance. Currently there are no such countries.</w:t>
      </w:r>
    </w:p>
    <w:p w:rsidR="000E2079" w:rsidRPr="00817C22" w:rsidRDefault="000E2079" w:rsidP="000E2079">
      <w:pPr>
        <w:widowControl/>
        <w:autoSpaceDE w:val="0"/>
        <w:autoSpaceDN w:val="0"/>
        <w:adjustRightInd w:val="0"/>
        <w:spacing w:before="0" w:after="0"/>
        <w:ind w:left="1560"/>
        <w:jc w:val="both"/>
        <w:rPr>
          <w:snapToGrid/>
          <w:sz w:val="22"/>
          <w:szCs w:val="22"/>
        </w:rPr>
      </w:pPr>
      <w:r w:rsidRPr="00817C22">
        <w:rPr>
          <w:snapToGrid/>
          <w:sz w:val="22"/>
          <w:szCs w:val="22"/>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rsidR="000E2079" w:rsidRPr="00817C22" w:rsidRDefault="000E2079" w:rsidP="000E2079">
      <w:pPr>
        <w:widowControl/>
        <w:autoSpaceDE w:val="0"/>
        <w:autoSpaceDN w:val="0"/>
        <w:adjustRightInd w:val="0"/>
        <w:spacing w:before="0" w:after="0"/>
        <w:ind w:left="1146"/>
        <w:jc w:val="both"/>
        <w:rPr>
          <w:rStyle w:val="Strong"/>
          <w:sz w:val="22"/>
          <w:szCs w:val="22"/>
          <w:lang w:val="en-GB"/>
        </w:rPr>
      </w:pPr>
      <w:r w:rsidRPr="00817C22">
        <w:rPr>
          <w:b/>
          <w:bCs/>
          <w:i/>
          <w:iCs/>
          <w:sz w:val="22"/>
          <w:szCs w:val="22"/>
        </w:rPr>
        <w:t xml:space="preserve">Rule of Origin: </w:t>
      </w:r>
      <w:r w:rsidRPr="00817C22">
        <w:rPr>
          <w:sz w:val="22"/>
          <w:szCs w:val="22"/>
        </w:rPr>
        <w:t>Goods and materials</w:t>
      </w:r>
      <w:r>
        <w:rPr>
          <w:sz w:val="22"/>
          <w:szCs w:val="22"/>
        </w:rPr>
        <w:t xml:space="preserve"> </w:t>
      </w:r>
      <w:r w:rsidRPr="00817C22">
        <w:rPr>
          <w:sz w:val="22"/>
          <w:szCs w:val="22"/>
        </w:rPr>
        <w:t>supplied</w:t>
      </w:r>
      <w:r>
        <w:rPr>
          <w:sz w:val="22"/>
          <w:szCs w:val="22"/>
        </w:rPr>
        <w:t xml:space="preserve"> </w:t>
      </w:r>
      <w:r w:rsidRPr="00817C22">
        <w:rPr>
          <w:sz w:val="22"/>
          <w:szCs w:val="22"/>
        </w:rPr>
        <w:t>under a procurement or a grant</w:t>
      </w:r>
      <w:r>
        <w:rPr>
          <w:sz w:val="22"/>
          <w:szCs w:val="22"/>
        </w:rPr>
        <w:t xml:space="preserve"> </w:t>
      </w:r>
      <w:r w:rsidRPr="00817C22">
        <w:rPr>
          <w:sz w:val="22"/>
          <w:szCs w:val="22"/>
        </w:rPr>
        <w:t>contract, financed</w:t>
      </w:r>
      <w:r>
        <w:rPr>
          <w:sz w:val="22"/>
          <w:szCs w:val="22"/>
        </w:rPr>
        <w:t xml:space="preserve"> </w:t>
      </w:r>
      <w:r w:rsidRPr="00817C22">
        <w:rPr>
          <w:sz w:val="22"/>
          <w:szCs w:val="22"/>
        </w:rPr>
        <w:t>under the INTERREG IPA Romania-Serbia Programme are fully</w:t>
      </w:r>
      <w:r>
        <w:rPr>
          <w:sz w:val="22"/>
          <w:szCs w:val="22"/>
        </w:rPr>
        <w:t xml:space="preserve"> </w:t>
      </w:r>
      <w:r w:rsidRPr="00817C22">
        <w:rPr>
          <w:sz w:val="22"/>
          <w:szCs w:val="22"/>
        </w:rPr>
        <w:t>untied and can</w:t>
      </w:r>
      <w:r>
        <w:rPr>
          <w:sz w:val="22"/>
          <w:szCs w:val="22"/>
        </w:rPr>
        <w:t xml:space="preserve"> </w:t>
      </w:r>
      <w:r w:rsidRPr="00817C22">
        <w:rPr>
          <w:sz w:val="22"/>
          <w:szCs w:val="22"/>
        </w:rPr>
        <w:t>originate in any country. All supplies and materials are fully</w:t>
      </w:r>
      <w:r>
        <w:rPr>
          <w:sz w:val="22"/>
          <w:szCs w:val="22"/>
        </w:rPr>
        <w:t xml:space="preserve"> </w:t>
      </w:r>
      <w:r w:rsidRPr="00817C22">
        <w:rPr>
          <w:sz w:val="22"/>
          <w:szCs w:val="22"/>
        </w:rPr>
        <w:t>untied and no verification of origins</w:t>
      </w:r>
      <w:r>
        <w:rPr>
          <w:sz w:val="22"/>
          <w:szCs w:val="22"/>
        </w:rPr>
        <w:t xml:space="preserve"> </w:t>
      </w:r>
      <w:r w:rsidRPr="00817C22">
        <w:rPr>
          <w:sz w:val="22"/>
          <w:szCs w:val="22"/>
        </w:rPr>
        <w:t>required.</w:t>
      </w:r>
    </w:p>
    <w:p w:rsidR="000E2079" w:rsidRDefault="00BA1CAC" w:rsidP="000E2079">
      <w:pPr>
        <w:pStyle w:val="Blockquote"/>
        <w:numPr>
          <w:ilvl w:val="0"/>
          <w:numId w:val="46"/>
        </w:numPr>
        <w:spacing w:before="120" w:after="120"/>
        <w:jc w:val="both"/>
        <w:rPr>
          <w:sz w:val="22"/>
          <w:szCs w:val="22"/>
        </w:rPr>
      </w:pPr>
      <w:hyperlink r:id="rId12" w:history="1">
        <w:r w:rsidR="000E2079" w:rsidRPr="006B6D05">
          <w:rPr>
            <w:sz w:val="22"/>
            <w:szCs w:val="22"/>
          </w:rPr>
          <w:t>Financial Regulation 2018 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hyperlink>
      <w:r w:rsidR="000E2079" w:rsidRPr="006B6D05">
        <w:rPr>
          <w:sz w:val="22"/>
          <w:szCs w:val="22"/>
        </w:rPr>
        <w:t xml:space="preserve"> </w:t>
      </w:r>
    </w:p>
    <w:p w:rsidR="000E2079" w:rsidRDefault="000E2079" w:rsidP="000E2079">
      <w:pPr>
        <w:pStyle w:val="Blockquote"/>
        <w:spacing w:before="120" w:after="120"/>
        <w:ind w:left="1146"/>
        <w:jc w:val="both"/>
        <w:rPr>
          <w:b/>
          <w:bCs/>
          <w:lang w:val="en-GB"/>
        </w:rPr>
      </w:pPr>
      <w:r>
        <w:rPr>
          <w:sz w:val="22"/>
          <w:szCs w:val="22"/>
        </w:rPr>
        <w:t>(</w:t>
      </w:r>
      <w:r w:rsidRPr="004519B6">
        <w:rPr>
          <w:b/>
          <w:bCs/>
          <w:lang w:val="en-GB"/>
        </w:rPr>
        <w:t>Articles 178 and 179 of the Financial Regulation and points 36 to 41 of Chapter 3 of Annex I</w:t>
      </w:r>
      <w:r>
        <w:rPr>
          <w:b/>
          <w:bCs/>
          <w:lang w:val="en-GB"/>
        </w:rPr>
        <w:t>)</w:t>
      </w:r>
    </w:p>
    <w:p w:rsidR="000E2079" w:rsidRPr="006B6D05" w:rsidRDefault="00BA1CAC" w:rsidP="000E2079">
      <w:pPr>
        <w:pStyle w:val="Blockquote"/>
        <w:numPr>
          <w:ilvl w:val="0"/>
          <w:numId w:val="46"/>
        </w:numPr>
        <w:spacing w:before="120" w:after="120"/>
        <w:jc w:val="both"/>
        <w:rPr>
          <w:sz w:val="22"/>
          <w:szCs w:val="22"/>
        </w:rPr>
      </w:pPr>
      <w:hyperlink r:id="rId13" w:history="1">
        <w:r w:rsidR="000E2079" w:rsidRPr="006B6D05">
          <w:rPr>
            <w:sz w:val="22"/>
            <w:szCs w:val="22"/>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hyperlink>
    </w:p>
    <w:p w:rsidR="000E2079" w:rsidRPr="006B6D05" w:rsidRDefault="00BA1CAC" w:rsidP="000E2079">
      <w:pPr>
        <w:pStyle w:val="Blockquote"/>
        <w:numPr>
          <w:ilvl w:val="0"/>
          <w:numId w:val="46"/>
        </w:numPr>
        <w:spacing w:before="120" w:after="120"/>
        <w:jc w:val="both"/>
        <w:rPr>
          <w:sz w:val="22"/>
          <w:szCs w:val="22"/>
        </w:rPr>
      </w:pPr>
      <w:hyperlink r:id="rId14" w:history="1">
        <w:r w:rsidR="000E2079" w:rsidRPr="006B6D05">
          <w:rPr>
            <w:sz w:val="22"/>
            <w:szCs w:val="22"/>
          </w:rPr>
          <w:t>REGULATION (EU) 2021/1059 OF THE EUROPEAN PARLIAMENT AND OF THE COUNCIL of 24 June 2021 on specific provisions for the European territorial cooperation goal (Interreg) supported by the European Regional Development Fund and external financing instruments</w:t>
        </w:r>
      </w:hyperlink>
    </w:p>
    <w:p w:rsidR="00B9793F" w:rsidRPr="00F72244" w:rsidRDefault="000E2079" w:rsidP="000E2079">
      <w:pPr>
        <w:pStyle w:val="Blockquote"/>
        <w:numPr>
          <w:ilvl w:val="0"/>
          <w:numId w:val="46"/>
        </w:numPr>
        <w:spacing w:before="120" w:after="120"/>
        <w:jc w:val="both"/>
        <w:rPr>
          <w:rStyle w:val="eop"/>
          <w:rFonts w:ascii="Calibri" w:hAnsi="Calibri" w:cs="Calibri"/>
          <w:sz w:val="22"/>
          <w:szCs w:val="22"/>
        </w:rPr>
      </w:pPr>
      <w:r w:rsidRPr="009B52E8">
        <w:rPr>
          <w:sz w:val="22"/>
          <w:szCs w:val="22"/>
        </w:rPr>
        <w:lastRenderedPageBreak/>
        <w:t>Practical</w:t>
      </w:r>
      <w:r w:rsidRPr="00817C22">
        <w:rPr>
          <w:sz w:val="22"/>
          <w:szCs w:val="22"/>
        </w:rPr>
        <w:t xml:space="preserve"> guide on contract procedures for European Union external action (PRAG)</w:t>
      </w:r>
      <w:r w:rsidRPr="00817C22">
        <w:t> </w:t>
      </w:r>
      <w:r>
        <w:t>2021.1</w:t>
      </w:r>
      <w:r w:rsidR="00B9793F" w:rsidRPr="00CC4086">
        <w:rPr>
          <w:rStyle w:val="eop"/>
          <w:rFonts w:ascii="Calibri" w:hAnsi="Calibri" w:cs="Calibri"/>
          <w:b/>
          <w:sz w:val="22"/>
          <w:szCs w:val="22"/>
        </w:rPr>
        <w:t> </w:t>
      </w:r>
    </w:p>
    <w:p w:rsidR="00B9793F" w:rsidRPr="008660AD" w:rsidRDefault="00B9793F" w:rsidP="00584BF4">
      <w:pPr>
        <w:ind w:left="709" w:hanging="349"/>
        <w:outlineLvl w:val="0"/>
        <w:rPr>
          <w:rStyle w:val="Strong"/>
          <w:sz w:val="22"/>
          <w:szCs w:val="22"/>
        </w:rPr>
      </w:pPr>
    </w:p>
    <w:p w:rsidR="006F5FD0" w:rsidRPr="00B33EE6" w:rsidRDefault="006F5FD0"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rsidR="001A66C2" w:rsidRPr="003319C5" w:rsidRDefault="001A66C2" w:rsidP="008660AD">
      <w:pPr>
        <w:widowControl/>
        <w:snapToGrid w:val="0"/>
        <w:ind w:left="360" w:right="26"/>
        <w:jc w:val="both"/>
        <w:rPr>
          <w:rFonts w:eastAsia="Calibri"/>
          <w:i/>
          <w:iCs/>
          <w:snapToGrid/>
          <w:sz w:val="22"/>
          <w:szCs w:val="22"/>
          <w:lang w:val="en-GB"/>
        </w:rPr>
      </w:pPr>
      <w:r w:rsidRPr="003F1149">
        <w:rPr>
          <w:sz w:val="22"/>
          <w:szCs w:val="22"/>
          <w:lang w:val="en-GB"/>
        </w:rPr>
        <w:t xml:space="preserve">Any tenderer may state in its tender that it would offer a discount in the event that its tender is accepted for more than one lot. </w:t>
      </w:r>
    </w:p>
    <w:p w:rsidR="001A66C2" w:rsidRPr="00B33EE6" w:rsidRDefault="001A66C2" w:rsidP="007727F3">
      <w:pPr>
        <w:pStyle w:val="Blockquote"/>
        <w:jc w:val="both"/>
        <w:rPr>
          <w:i/>
          <w:sz w:val="22"/>
          <w:szCs w:val="22"/>
          <w:lang w:val="en-GB"/>
        </w:rPr>
      </w:pP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0E2079">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00D6242E">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D6242E">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p>
    <w:p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rsidR="00E9047D"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rsidR="006F5FD0" w:rsidRPr="00B33EE6" w:rsidRDefault="00BA1CAC">
      <w:pPr>
        <w:keepNext/>
        <w:jc w:val="center"/>
        <w:rPr>
          <w:sz w:val="28"/>
          <w:szCs w:val="28"/>
          <w:lang w:val="en-GB"/>
        </w:rPr>
      </w:pPr>
      <w:r w:rsidRPr="00BA1CAC">
        <w:rPr>
          <w:snapToGrid/>
          <w:sz w:val="22"/>
          <w:szCs w:val="22"/>
          <w:lang w:val="en-GB"/>
        </w:rPr>
        <w:pict>
          <v:line id="_x0000_s1029" style="position:absolute;left:0;text-align:left;z-index:251657728" from="1.5pt,2.05pt" to="469.5pt,2.1pt" o:allowincell="f" strokecolor="#d4d4d4" strokeweight="1.75pt">
            <v:shadow on="t" origin=",32385f" offset="0,-1pt"/>
          </v:line>
        </w:pict>
      </w:r>
      <w:r w:rsidR="006F5FD0" w:rsidRPr="00B33EE6">
        <w:rPr>
          <w:rStyle w:val="Strong"/>
          <w:sz w:val="28"/>
          <w:szCs w:val="28"/>
          <w:lang w:val="en-GB"/>
        </w:rPr>
        <w:t>PROVISIONAL TIMETABLE</w:t>
      </w:r>
    </w:p>
    <w:p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rsidR="006F5FD0" w:rsidRPr="00B33EE6" w:rsidRDefault="00BD0ECC" w:rsidP="00571687">
      <w:pPr>
        <w:pStyle w:val="Blockquote"/>
        <w:jc w:val="both"/>
        <w:rPr>
          <w:i/>
          <w:sz w:val="22"/>
          <w:szCs w:val="22"/>
          <w:lang w:val="en-GB"/>
        </w:rPr>
      </w:pPr>
      <w:r>
        <w:rPr>
          <w:rStyle w:val="Emphasis"/>
          <w:i w:val="0"/>
          <w:sz w:val="22"/>
          <w:szCs w:val="22"/>
          <w:lang w:val="en-GB"/>
        </w:rPr>
        <w:t>2</w:t>
      </w:r>
      <w:r w:rsidR="00B87F17">
        <w:rPr>
          <w:rStyle w:val="Emphasis"/>
          <w:i w:val="0"/>
          <w:sz w:val="22"/>
          <w:szCs w:val="22"/>
          <w:lang w:val="en-GB"/>
        </w:rPr>
        <w:t>9</w:t>
      </w:r>
      <w:r w:rsidR="008459D7">
        <w:rPr>
          <w:rStyle w:val="Emphasis"/>
          <w:i w:val="0"/>
          <w:sz w:val="22"/>
          <w:szCs w:val="22"/>
          <w:lang w:val="en-GB"/>
        </w:rPr>
        <w:t>.</w:t>
      </w:r>
      <w:r w:rsidR="00A85033">
        <w:rPr>
          <w:rStyle w:val="Emphasis"/>
          <w:i w:val="0"/>
          <w:sz w:val="22"/>
          <w:szCs w:val="22"/>
          <w:lang w:val="en-GB"/>
        </w:rPr>
        <w:t>0</w:t>
      </w:r>
      <w:r w:rsidR="00EF6B14">
        <w:rPr>
          <w:rStyle w:val="Emphasis"/>
          <w:i w:val="0"/>
          <w:sz w:val="22"/>
          <w:szCs w:val="22"/>
          <w:lang w:val="en-GB"/>
        </w:rPr>
        <w:t>4</w:t>
      </w:r>
      <w:r w:rsidR="008459D7">
        <w:rPr>
          <w:rStyle w:val="Emphasis"/>
          <w:i w:val="0"/>
          <w:sz w:val="22"/>
          <w:szCs w:val="22"/>
          <w:lang w:val="en-GB"/>
        </w:rPr>
        <w:t>.202</w:t>
      </w:r>
      <w:r w:rsidR="00A85033">
        <w:rPr>
          <w:rStyle w:val="Emphasis"/>
          <w:i w:val="0"/>
          <w:sz w:val="22"/>
          <w:szCs w:val="22"/>
          <w:lang w:val="en-GB"/>
        </w:rPr>
        <w:t>5</w:t>
      </w:r>
    </w:p>
    <w:p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rsidR="006F5FD0" w:rsidRPr="00B33EE6" w:rsidRDefault="00BD0ECC" w:rsidP="00571687">
      <w:pPr>
        <w:pStyle w:val="Blockquote"/>
        <w:jc w:val="both"/>
        <w:rPr>
          <w:i/>
          <w:sz w:val="22"/>
          <w:szCs w:val="22"/>
          <w:lang w:val="en-GB"/>
        </w:rPr>
      </w:pPr>
      <w:r>
        <w:rPr>
          <w:rStyle w:val="Emphasis"/>
          <w:i w:val="0"/>
          <w:sz w:val="22"/>
          <w:szCs w:val="22"/>
          <w:lang w:val="en-GB"/>
        </w:rPr>
        <w:t>30 days</w:t>
      </w:r>
    </w:p>
    <w:p w:rsidR="006F5FD0" w:rsidRPr="00B33EE6" w:rsidRDefault="00BA1CAC">
      <w:pPr>
        <w:rPr>
          <w:sz w:val="22"/>
          <w:szCs w:val="22"/>
          <w:lang w:val="en-GB"/>
        </w:rPr>
      </w:pPr>
      <w:r w:rsidRPr="00BA1CAC">
        <w:rPr>
          <w:snapToGrid/>
          <w:sz w:val="22"/>
          <w:szCs w:val="22"/>
          <w:lang w:val="en-GB"/>
        </w:rPr>
        <w:pict>
          <v:line id="_x0000_s1030" style="position:absolute;z-index:251658752" from="0,12pt" to="468pt,12.05pt" o:allowincell="f" strokecolor="#d4d4d4" strokeweight="1.75pt">
            <v:shadow on="t" origin=",32385f" offset="0,-1pt"/>
          </v:line>
        </w:pict>
      </w:r>
    </w:p>
    <w:p w:rsidR="006F5FD0" w:rsidRPr="00B33EE6" w:rsidRDefault="006F5FD0">
      <w:pPr>
        <w:jc w:val="center"/>
        <w:rPr>
          <w:sz w:val="28"/>
          <w:szCs w:val="28"/>
          <w:lang w:val="en-GB"/>
        </w:rPr>
      </w:pPr>
      <w:r w:rsidRPr="00B33EE6">
        <w:rPr>
          <w:rStyle w:val="Strong"/>
          <w:sz w:val="28"/>
          <w:szCs w:val="28"/>
          <w:lang w:val="en-GB"/>
        </w:rPr>
        <w:t>SELECTION AND AWARD CRITERIA</w:t>
      </w:r>
    </w:p>
    <w:p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rsidR="00831982" w:rsidRPr="00AE0634" w:rsidRDefault="00831982" w:rsidP="00831982">
      <w:pPr>
        <w:widowControl/>
        <w:spacing w:before="240" w:after="0"/>
        <w:ind w:left="426"/>
        <w:jc w:val="both"/>
        <w:rPr>
          <w:sz w:val="22"/>
          <w:szCs w:val="22"/>
          <w:lang w:val="en-GB"/>
        </w:rPr>
      </w:pPr>
      <w:r w:rsidRPr="00AE0634">
        <w:rPr>
          <w:sz w:val="22"/>
          <w:szCs w:val="22"/>
          <w:lang w:val="en-GB"/>
        </w:rPr>
        <w:t>Capacity-providing entities</w:t>
      </w:r>
    </w:p>
    <w:p w:rsidR="00831982" w:rsidRPr="00AE0634" w:rsidRDefault="00831982" w:rsidP="00831982">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w:t>
      </w:r>
      <w:r w:rsidRPr="00AE0634">
        <w:rPr>
          <w:sz w:val="22"/>
          <w:szCs w:val="22"/>
          <w:lang w:val="en-GB"/>
        </w:rPr>
        <w:lastRenderedPageBreak/>
        <w:t xml:space="preserve">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rsidR="00831982" w:rsidRPr="00AE0634" w:rsidRDefault="00831982" w:rsidP="00831982">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rsidR="00831982" w:rsidRDefault="00831982" w:rsidP="00831982">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rsidR="00831982" w:rsidRPr="00B33EE6" w:rsidRDefault="00831982" w:rsidP="00584BF4">
      <w:pPr>
        <w:ind w:left="709" w:hanging="349"/>
        <w:outlineLvl w:val="0"/>
        <w:rPr>
          <w:sz w:val="22"/>
          <w:szCs w:val="22"/>
          <w:lang w:val="en-GB"/>
        </w:rPr>
      </w:pPr>
    </w:p>
    <w:p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rsidR="006F5FD0" w:rsidRDefault="006F5FD0" w:rsidP="008660AD">
      <w:pPr>
        <w:pStyle w:val="Blockquote"/>
        <w:numPr>
          <w:ilvl w:val="0"/>
          <w:numId w:val="45"/>
        </w:numPr>
        <w:ind w:right="357"/>
        <w:jc w:val="both"/>
        <w:rPr>
          <w:sz w:val="22"/>
          <w:szCs w:val="22"/>
          <w:lang w:val="en-GB"/>
        </w:rPr>
      </w:pPr>
      <w:r w:rsidRPr="00B33EE6">
        <w:rPr>
          <w:b/>
          <w:sz w:val="22"/>
          <w:szCs w:val="22"/>
          <w:u w:val="single"/>
          <w:lang w:val="en-GB"/>
        </w:rPr>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D6242E">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rsidR="008459D7" w:rsidRPr="008459D7" w:rsidRDefault="006F5FD0" w:rsidP="008459D7">
      <w:pPr>
        <w:pStyle w:val="Blockquote"/>
        <w:numPr>
          <w:ilvl w:val="0"/>
          <w:numId w:val="36"/>
        </w:numPr>
        <w:tabs>
          <w:tab w:val="clear" w:pos="360"/>
          <w:tab w:val="num" w:pos="720"/>
        </w:tabs>
        <w:ind w:left="720"/>
        <w:jc w:val="both"/>
        <w:rPr>
          <w:sz w:val="22"/>
          <w:szCs w:val="22"/>
          <w:lang w:val="es-ES_tradnl"/>
        </w:rPr>
      </w:pPr>
      <w:r w:rsidRPr="008459D7">
        <w:rPr>
          <w:sz w:val="22"/>
          <w:szCs w:val="22"/>
          <w:lang w:val="en-GB"/>
        </w:rPr>
        <w:t xml:space="preserve">the average annual turnover of the </w:t>
      </w:r>
      <w:r w:rsidR="005639EC" w:rsidRPr="008459D7">
        <w:rPr>
          <w:sz w:val="22"/>
          <w:szCs w:val="22"/>
          <w:lang w:val="en-GB"/>
        </w:rPr>
        <w:t>tenderer</w:t>
      </w:r>
      <w:r w:rsidRPr="008459D7">
        <w:rPr>
          <w:sz w:val="22"/>
          <w:szCs w:val="22"/>
          <w:lang w:val="en-GB"/>
        </w:rPr>
        <w:t xml:space="preserve"> must exceed  </w:t>
      </w:r>
      <w:r w:rsidR="000A42D9">
        <w:rPr>
          <w:sz w:val="22"/>
          <w:szCs w:val="22"/>
          <w:lang w:val="en-GB"/>
        </w:rPr>
        <w:t>financial offer.</w:t>
      </w:r>
      <w:r w:rsidR="008459D7" w:rsidRPr="008459D7">
        <w:rPr>
          <w:b/>
          <w:sz w:val="22"/>
          <w:szCs w:val="22"/>
          <w:lang w:val="en-GB"/>
        </w:rPr>
        <w:t xml:space="preserve"> </w:t>
      </w:r>
    </w:p>
    <w:p w:rsidR="00235A71" w:rsidRPr="00BE5F29" w:rsidRDefault="00235A71" w:rsidP="00E147D3">
      <w:pPr>
        <w:pStyle w:val="Blockquote"/>
        <w:spacing w:before="0"/>
        <w:ind w:left="720" w:right="357"/>
        <w:jc w:val="both"/>
        <w:rPr>
          <w:sz w:val="22"/>
          <w:szCs w:val="22"/>
          <w:lang w:val="es-ES_tradnl"/>
        </w:rPr>
      </w:pPr>
    </w:p>
    <w:p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1B1460" w:rsidRPr="001B1460">
        <w:rPr>
          <w:b/>
          <w:sz w:val="22"/>
          <w:szCs w:val="22"/>
          <w:lang w:val="en-GB"/>
        </w:rPr>
        <w:t xml:space="preserve"> </w:t>
      </w:r>
      <w:r w:rsidR="00A85E8A" w:rsidRPr="001B1460">
        <w:rPr>
          <w:b/>
          <w:sz w:val="22"/>
          <w:szCs w:val="22"/>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459D7">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rsidR="00235A71" w:rsidRPr="003670BA" w:rsidRDefault="008459D7" w:rsidP="008459D7">
      <w:pPr>
        <w:pStyle w:val="Blockquote"/>
        <w:numPr>
          <w:ilvl w:val="0"/>
          <w:numId w:val="36"/>
        </w:numPr>
        <w:tabs>
          <w:tab w:val="clear" w:pos="360"/>
          <w:tab w:val="num" w:pos="720"/>
        </w:tabs>
        <w:ind w:left="720"/>
        <w:jc w:val="both"/>
        <w:rPr>
          <w:sz w:val="22"/>
          <w:szCs w:val="22"/>
          <w:lang w:val="es-ES_tradnl"/>
        </w:rPr>
      </w:pPr>
      <w:r w:rsidRPr="00CD51D4">
        <w:rPr>
          <w:sz w:val="22"/>
          <w:szCs w:val="22"/>
          <w:lang w:val="en-GB"/>
        </w:rPr>
        <w:t>at least one staff currently work for the tenderer in fields related to this contract</w:t>
      </w:r>
      <w:r>
        <w:rPr>
          <w:sz w:val="22"/>
          <w:szCs w:val="22"/>
          <w:lang w:val="en-GB"/>
        </w:rPr>
        <w:t>.</w:t>
      </w:r>
    </w:p>
    <w:p w:rsidR="00235A71" w:rsidRPr="00B33EE6" w:rsidRDefault="00235A71" w:rsidP="00E147D3">
      <w:pPr>
        <w:pStyle w:val="Blockquote"/>
        <w:spacing w:before="0"/>
        <w:ind w:left="720" w:right="357"/>
        <w:jc w:val="both"/>
        <w:rPr>
          <w:sz w:val="22"/>
          <w:szCs w:val="22"/>
          <w:lang w:val="en-GB"/>
        </w:rPr>
      </w:pPr>
    </w:p>
    <w:p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1B1460" w:rsidRPr="001B1460">
        <w:rPr>
          <w:b/>
          <w:sz w:val="22"/>
          <w:szCs w:val="22"/>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BE08EC" w:rsidRPr="008459D7">
        <w:rPr>
          <w:sz w:val="22"/>
          <w:szCs w:val="22"/>
          <w:lang w:val="en-GB"/>
        </w:rPr>
        <w:t>three</w:t>
      </w:r>
      <w:r w:rsidR="008459D7" w:rsidRPr="008459D7">
        <w:rPr>
          <w:sz w:val="22"/>
          <w:szCs w:val="22"/>
          <w:lang w:val="en-GB"/>
        </w:rPr>
        <w:t xml:space="preserve"> </w:t>
      </w:r>
      <w:r w:rsidR="00862885" w:rsidRPr="008459D7">
        <w:rPr>
          <w:sz w:val="22"/>
          <w:szCs w:val="22"/>
          <w:lang w:val="en-GB"/>
        </w:rPr>
        <w:t>years</w:t>
      </w:r>
      <w:r w:rsidR="008459D7">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rsidR="001661F7" w:rsidRPr="008F5610" w:rsidRDefault="00BE783C" w:rsidP="008459D7">
      <w:pPr>
        <w:pStyle w:val="Blockquote"/>
        <w:numPr>
          <w:ilvl w:val="0"/>
          <w:numId w:val="34"/>
        </w:numPr>
        <w:tabs>
          <w:tab w:val="clear" w:pos="360"/>
          <w:tab w:val="left" w:pos="709"/>
        </w:tabs>
        <w:ind w:left="709" w:hanging="283"/>
        <w:jc w:val="both"/>
        <w:rPr>
          <w:sz w:val="22"/>
          <w:szCs w:val="22"/>
          <w:lang w:val="en-GB"/>
        </w:rPr>
      </w:pPr>
      <w:r w:rsidRPr="008F5610">
        <w:rPr>
          <w:sz w:val="22"/>
          <w:szCs w:val="22"/>
          <w:lang w:val="en-GB"/>
        </w:rPr>
        <w:t xml:space="preserve">the </w:t>
      </w:r>
      <w:r w:rsidR="00994EA3" w:rsidRPr="008F5610">
        <w:rPr>
          <w:sz w:val="22"/>
          <w:szCs w:val="22"/>
          <w:lang w:val="en-GB"/>
        </w:rPr>
        <w:t>tenderer</w:t>
      </w:r>
      <w:r w:rsidRPr="008F5610">
        <w:rPr>
          <w:sz w:val="22"/>
          <w:szCs w:val="22"/>
          <w:lang w:val="en-GB"/>
        </w:rPr>
        <w:t xml:space="preserve"> has </w:t>
      </w:r>
      <w:r w:rsidR="00E81C0B" w:rsidRPr="008F5610">
        <w:rPr>
          <w:sz w:val="22"/>
          <w:szCs w:val="22"/>
          <w:lang w:val="en-GB"/>
        </w:rPr>
        <w:t>delivered supplies</w:t>
      </w:r>
      <w:r w:rsidR="001661F7" w:rsidRPr="008F5610">
        <w:rPr>
          <w:sz w:val="22"/>
          <w:szCs w:val="22"/>
          <w:lang w:val="en-GB"/>
        </w:rPr>
        <w:t xml:space="preserve"> under </w:t>
      </w:r>
      <w:r w:rsidRPr="008F5610">
        <w:rPr>
          <w:sz w:val="22"/>
          <w:szCs w:val="22"/>
          <w:lang w:val="en-GB"/>
        </w:rPr>
        <w:t xml:space="preserve">at least </w:t>
      </w:r>
      <w:r w:rsidR="008459D7" w:rsidRPr="008F5610">
        <w:rPr>
          <w:sz w:val="22"/>
          <w:szCs w:val="22"/>
          <w:lang w:val="en-GB"/>
        </w:rPr>
        <w:t xml:space="preserve">one </w:t>
      </w:r>
      <w:r w:rsidR="001661F7" w:rsidRPr="008F5610">
        <w:rPr>
          <w:sz w:val="22"/>
          <w:szCs w:val="22"/>
          <w:lang w:val="en-GB"/>
        </w:rPr>
        <w:t>contract</w:t>
      </w:r>
      <w:r w:rsidR="008459D7" w:rsidRPr="008F5610">
        <w:rPr>
          <w:sz w:val="22"/>
          <w:szCs w:val="22"/>
          <w:lang w:val="en-GB"/>
        </w:rPr>
        <w:t xml:space="preserve"> </w:t>
      </w:r>
      <w:r w:rsidR="000A42D9" w:rsidRPr="008F5610">
        <w:rPr>
          <w:sz w:val="22"/>
          <w:szCs w:val="22"/>
          <w:lang w:val="en-GB"/>
        </w:rPr>
        <w:t xml:space="preserve">with a total value no less than </w:t>
      </w:r>
      <w:r w:rsidR="00BD0ECC">
        <w:rPr>
          <w:sz w:val="22"/>
          <w:szCs w:val="22"/>
          <w:lang w:val="en-GB"/>
        </w:rPr>
        <w:t>45.0</w:t>
      </w:r>
      <w:r w:rsidR="00EF6B14" w:rsidRPr="008F5610">
        <w:rPr>
          <w:sz w:val="22"/>
          <w:szCs w:val="22"/>
          <w:lang w:val="en-GB"/>
        </w:rPr>
        <w:t>00</w:t>
      </w:r>
      <w:r w:rsidR="000A42D9" w:rsidRPr="008F5610">
        <w:rPr>
          <w:sz w:val="22"/>
          <w:szCs w:val="22"/>
          <w:lang w:val="en-GB"/>
        </w:rPr>
        <w:t>,00 EUR with VAT included</w:t>
      </w:r>
      <w:r w:rsidR="001661F7" w:rsidRPr="008F5610">
        <w:rPr>
          <w:sz w:val="22"/>
          <w:szCs w:val="22"/>
          <w:lang w:val="en-GB"/>
        </w:rPr>
        <w:t xml:space="preserve">: </w:t>
      </w:r>
      <w:r w:rsidR="008459D7" w:rsidRPr="008F5610">
        <w:rPr>
          <w:sz w:val="22"/>
          <w:szCs w:val="22"/>
          <w:lang w:val="en-GB"/>
        </w:rPr>
        <w:t>three years preceding the submission deadline</w:t>
      </w:r>
      <w:r w:rsidR="001661F7" w:rsidRPr="008F5610">
        <w:rPr>
          <w:sz w:val="22"/>
          <w:szCs w:val="22"/>
          <w:lang w:val="en-GB"/>
        </w:rPr>
        <w:t>.</w:t>
      </w:r>
    </w:p>
    <w:p w:rsidR="00CB2A5B" w:rsidRDefault="00CB2A5B" w:rsidP="008660AD">
      <w:pPr>
        <w:pStyle w:val="Blockquote"/>
        <w:tabs>
          <w:tab w:val="left" w:pos="284"/>
        </w:tabs>
        <w:jc w:val="both"/>
        <w:rPr>
          <w:sz w:val="22"/>
          <w:szCs w:val="22"/>
          <w:lang w:val="en-GB"/>
        </w:rPr>
      </w:pPr>
      <w:r w:rsidRPr="008F5610">
        <w:rPr>
          <w:sz w:val="22"/>
          <w:szCs w:val="22"/>
          <w:lang w:val="en-GB"/>
        </w:rPr>
        <w:t>This means that the contract the tenderer refers to could have been started at any time during the indicated period but it does not necessarily have to be completed during that period, nor implemented during the entire period. Tenderers are allowed to refer either to supply contracts completed within the reference period (although started earlier) or to supply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supply contract in a consortium, the percentage that the tenderer has successfully completed must be clear from the documentary evidence, together with a description of the nature of the supplies provided if the selection criteria relating to the pertinence of the experience have been used.</w:t>
      </w:r>
    </w:p>
    <w:p w:rsidR="004F00C7" w:rsidRPr="00B33EE6" w:rsidRDefault="004F00C7" w:rsidP="008660AD">
      <w:pPr>
        <w:pStyle w:val="Blockquote"/>
        <w:ind w:left="0"/>
        <w:jc w:val="both"/>
        <w:rPr>
          <w:sz w:val="22"/>
          <w:szCs w:val="22"/>
          <w:lang w:val="en-GB"/>
        </w:rPr>
      </w:pPr>
      <w:r w:rsidRPr="00B33EE6">
        <w:rPr>
          <w:sz w:val="22"/>
          <w:szCs w:val="22"/>
          <w:lang w:val="en-GB"/>
        </w:rPr>
        <w:lastRenderedPageBreak/>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rsidR="006F5FD0" w:rsidRPr="00B33EE6" w:rsidRDefault="00831982" w:rsidP="0007067C">
      <w:pPr>
        <w:pStyle w:val="Blockquote"/>
        <w:ind w:left="426" w:right="1"/>
        <w:jc w:val="both"/>
        <w:rPr>
          <w:sz w:val="22"/>
          <w:szCs w:val="22"/>
          <w:lang w:val="en-GB"/>
        </w:rPr>
      </w:pPr>
      <w:r w:rsidRPr="003F1149">
        <w:rPr>
          <w:sz w:val="22"/>
          <w:szCs w:val="22"/>
          <w:lang w:val="en-GB"/>
        </w:rPr>
        <w:t>Price</w:t>
      </w:r>
      <w:r>
        <w:rPr>
          <w:sz w:val="22"/>
          <w:szCs w:val="22"/>
          <w:lang w:val="en-GB"/>
        </w:rPr>
        <w:t>.</w:t>
      </w:r>
    </w:p>
    <w:p w:rsidR="006F5FD0" w:rsidRPr="00B33EE6" w:rsidRDefault="00BA1CAC">
      <w:pPr>
        <w:rPr>
          <w:sz w:val="22"/>
          <w:szCs w:val="22"/>
          <w:lang w:val="en-GB"/>
        </w:rPr>
      </w:pPr>
      <w:r w:rsidRPr="00BA1CAC">
        <w:rPr>
          <w:snapToGrid/>
          <w:sz w:val="22"/>
          <w:szCs w:val="22"/>
          <w:lang w:val="en-GB"/>
        </w:rPr>
        <w:pict>
          <v:line id="_x0000_s1031" style="position:absolute;z-index:251659776" from="0,12pt" to="468pt,12.05pt" o:allowincell="f" strokecolor="#d4d4d4" strokeweight="1.75pt">
            <v:shadow on="t" origin=",32385f" offset="0,-1pt"/>
          </v:line>
        </w:pict>
      </w:r>
    </w:p>
    <w:p w:rsidR="006F5FD0" w:rsidRPr="00B33EE6" w:rsidRDefault="00994EA3">
      <w:pPr>
        <w:keepNext/>
        <w:jc w:val="center"/>
        <w:rPr>
          <w:sz w:val="28"/>
          <w:szCs w:val="28"/>
          <w:lang w:val="en-GB"/>
        </w:rPr>
      </w:pPr>
      <w:r w:rsidRPr="00B33EE6">
        <w:rPr>
          <w:rStyle w:val="Strong"/>
          <w:sz w:val="28"/>
          <w:szCs w:val="28"/>
          <w:lang w:val="en-GB"/>
        </w:rPr>
        <w:t>TENDERING</w:t>
      </w:r>
    </w:p>
    <w:p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rsidR="006F5FD0" w:rsidRPr="00B33EE6" w:rsidRDefault="00994EA3">
      <w:pPr>
        <w:pStyle w:val="Blockquote"/>
        <w:jc w:val="both"/>
        <w:rPr>
          <w:i/>
          <w:sz w:val="22"/>
          <w:szCs w:val="22"/>
          <w:lang w:val="en-GB"/>
        </w:rPr>
      </w:pPr>
      <w:r w:rsidRPr="008459D7">
        <w:rPr>
          <w:rStyle w:val="Emphasis"/>
          <w:i w:val="0"/>
          <w:sz w:val="22"/>
          <w:szCs w:val="22"/>
          <w:lang w:val="en-GB"/>
        </w:rPr>
        <w:t xml:space="preserve">The deadline for </w:t>
      </w:r>
      <w:r w:rsidR="0013314C" w:rsidRPr="008459D7">
        <w:rPr>
          <w:rStyle w:val="Emphasis"/>
          <w:i w:val="0"/>
          <w:sz w:val="22"/>
          <w:szCs w:val="22"/>
          <w:lang w:val="en-GB"/>
        </w:rPr>
        <w:t xml:space="preserve">submission </w:t>
      </w:r>
      <w:r w:rsidRPr="008459D7">
        <w:rPr>
          <w:rStyle w:val="Emphasis"/>
          <w:i w:val="0"/>
          <w:sz w:val="22"/>
          <w:szCs w:val="22"/>
          <w:lang w:val="en-GB"/>
        </w:rPr>
        <w:t xml:space="preserve">of tenders is </w:t>
      </w:r>
      <w:r w:rsidR="00B87F17">
        <w:rPr>
          <w:rStyle w:val="Emphasis"/>
          <w:i w:val="0"/>
          <w:sz w:val="22"/>
          <w:szCs w:val="22"/>
          <w:lang w:val="en-GB"/>
        </w:rPr>
        <w:t>22</w:t>
      </w:r>
      <w:r w:rsidR="000A42D9" w:rsidRPr="000A42D9">
        <w:rPr>
          <w:rStyle w:val="Emphasis"/>
          <w:i w:val="0"/>
          <w:sz w:val="22"/>
          <w:szCs w:val="22"/>
          <w:lang w:val="en-GB"/>
        </w:rPr>
        <w:t>.0</w:t>
      </w:r>
      <w:r w:rsidR="00BD0ECC">
        <w:rPr>
          <w:rStyle w:val="Emphasis"/>
          <w:i w:val="0"/>
          <w:sz w:val="22"/>
          <w:szCs w:val="22"/>
          <w:lang w:val="en-GB"/>
        </w:rPr>
        <w:t>4</w:t>
      </w:r>
      <w:r w:rsidR="000A42D9" w:rsidRPr="000A42D9">
        <w:rPr>
          <w:rStyle w:val="Emphasis"/>
          <w:i w:val="0"/>
          <w:sz w:val="22"/>
          <w:szCs w:val="22"/>
          <w:lang w:val="en-GB"/>
        </w:rPr>
        <w:t>.2025</w:t>
      </w:r>
      <w:r w:rsidR="008459D7" w:rsidRPr="008459D7">
        <w:rPr>
          <w:rStyle w:val="Emphasis"/>
          <w:i w:val="0"/>
          <w:sz w:val="22"/>
          <w:szCs w:val="22"/>
          <w:lang w:val="en-GB"/>
        </w:rPr>
        <w:t xml:space="preserve"> at 12.00 Local time.</w:t>
      </w:r>
    </w:p>
    <w:p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771F85">
        <w:rPr>
          <w:rStyle w:val="Strong"/>
          <w:b w:val="0"/>
          <w:sz w:val="22"/>
          <w:szCs w:val="22"/>
          <w:lang w:val="en-GB"/>
        </w:rPr>
        <w:t>.</w:t>
      </w:r>
    </w:p>
    <w:p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rsidR="004D5EDB" w:rsidRPr="00B33EE6" w:rsidRDefault="00BA1CAC" w:rsidP="004D5EDB">
      <w:pPr>
        <w:pStyle w:val="Blockquote"/>
        <w:jc w:val="both"/>
        <w:rPr>
          <w:sz w:val="22"/>
          <w:szCs w:val="22"/>
          <w:lang w:val="en-GB"/>
        </w:rPr>
      </w:pPr>
      <w:hyperlink r:id="rId15" w:history="1">
        <w:r w:rsidR="00881C2D" w:rsidRPr="005B10FD">
          <w:rPr>
            <w:rStyle w:val="Hyperlink"/>
            <w:sz w:val="22"/>
            <w:szCs w:val="22"/>
            <w:lang w:val="en-GB"/>
          </w:rPr>
          <w:t>http://ec.europa.eu/europeaid/prag/annexes.do?chapterTitleCode=A</w:t>
        </w:r>
      </w:hyperlink>
    </w:p>
    <w:p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p>
    <w:p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rsidR="00AF412E" w:rsidRPr="008660AD" w:rsidRDefault="00AF412E" w:rsidP="0007067C">
      <w:pPr>
        <w:widowControl/>
        <w:snapToGrid w:val="0"/>
        <w:spacing w:after="0"/>
        <w:ind w:left="284" w:right="360"/>
        <w:jc w:val="both"/>
        <w:rPr>
          <w:sz w:val="22"/>
          <w:szCs w:val="22"/>
          <w:lang w:val="en-GB"/>
        </w:rPr>
      </w:pPr>
      <w:r w:rsidRPr="008660AD">
        <w:rPr>
          <w:sz w:val="22"/>
          <w:szCs w:val="22"/>
          <w:lang w:val="en-GB"/>
        </w:rPr>
        <w:t xml:space="preserve">Financial data to be provided by the candidate in the standard application form  must be expressed in </w:t>
      </w:r>
      <w:r w:rsidR="008459D7">
        <w:rPr>
          <w:sz w:val="22"/>
          <w:szCs w:val="22"/>
          <w:lang w:val="en-GB"/>
        </w:rPr>
        <w:t>EUR or RSD</w:t>
      </w:r>
      <w:r w:rsidRPr="008660AD">
        <w:rPr>
          <w:sz w:val="22"/>
          <w:szCs w:val="22"/>
          <w:lang w:val="en-GB"/>
        </w:rPr>
        <w:t xml:space="preserve">. If applicable, where a candidate refers to amounts originally expressed in a different currency, the conversion to </w:t>
      </w:r>
      <w:r w:rsidR="008459D7">
        <w:rPr>
          <w:sz w:val="22"/>
          <w:szCs w:val="22"/>
          <w:lang w:val="en-GB"/>
        </w:rPr>
        <w:t>EUR</w:t>
      </w:r>
      <w:r w:rsidRPr="008660AD">
        <w:rPr>
          <w:sz w:val="22"/>
          <w:szCs w:val="22"/>
          <w:lang w:val="en-GB"/>
        </w:rPr>
        <w:t xml:space="preserve"> shall be made in accordance with the InforEuro </w:t>
      </w:r>
      <w:r w:rsidRPr="008660AD">
        <w:rPr>
          <w:sz w:val="22"/>
          <w:szCs w:val="22"/>
          <w:lang w:val="en-GB"/>
        </w:rPr>
        <w:lastRenderedPageBreak/>
        <w:t>exchange rate of</w:t>
      </w:r>
      <w:r w:rsidR="008459D7">
        <w:rPr>
          <w:sz w:val="22"/>
          <w:szCs w:val="22"/>
          <w:lang w:val="en-GB"/>
        </w:rPr>
        <w:t xml:space="preserve"> </w:t>
      </w:r>
      <w:r w:rsidR="00BD0ECC">
        <w:rPr>
          <w:sz w:val="22"/>
          <w:szCs w:val="22"/>
          <w:lang w:val="en-GB"/>
        </w:rPr>
        <w:t>March</w:t>
      </w:r>
      <w:r w:rsidR="008459D7">
        <w:rPr>
          <w:sz w:val="22"/>
          <w:szCs w:val="22"/>
          <w:lang w:val="en-GB"/>
        </w:rPr>
        <w:t xml:space="preserve"> 202</w:t>
      </w:r>
      <w:r w:rsidR="000A42D9">
        <w:rPr>
          <w:sz w:val="22"/>
          <w:szCs w:val="22"/>
          <w:lang w:val="en-GB"/>
        </w:rPr>
        <w:t>5</w:t>
      </w:r>
      <w:r w:rsidRPr="008660AD">
        <w:rPr>
          <w:sz w:val="22"/>
          <w:szCs w:val="22"/>
          <w:lang w:val="en-GB"/>
        </w:rPr>
        <w:t xml:space="preserve">, which can be found at the following address: </w:t>
      </w:r>
      <w:hyperlink r:id="rId16" w:history="1">
        <w:r w:rsidRPr="008660AD">
          <w:rPr>
            <w:rStyle w:val="Hyperlink"/>
            <w:sz w:val="22"/>
            <w:szCs w:val="22"/>
            <w:lang w:val="en-GB"/>
          </w:rPr>
          <w:t>http://ec.europa.eu/budget/graphs/inforeuro.html</w:t>
        </w:r>
      </w:hyperlink>
      <w:r w:rsidRPr="008660AD">
        <w:rPr>
          <w:sz w:val="22"/>
          <w:szCs w:val="22"/>
          <w:lang w:val="en-GB"/>
        </w:rPr>
        <w:t>.</w:t>
      </w:r>
    </w:p>
    <w:p w:rsidR="00AF412E" w:rsidRDefault="00AF412E" w:rsidP="00235A71">
      <w:pPr>
        <w:pStyle w:val="Blockquote"/>
        <w:jc w:val="both"/>
        <w:rPr>
          <w:sz w:val="22"/>
          <w:szCs w:val="22"/>
          <w:lang w:val="en-GB"/>
        </w:rPr>
      </w:pPr>
    </w:p>
    <w:p w:rsidR="00E9047D" w:rsidRPr="00F9055E" w:rsidRDefault="00E9047D" w:rsidP="00235A71">
      <w:pPr>
        <w:pStyle w:val="Blockquote"/>
        <w:jc w:val="both"/>
        <w:rPr>
          <w:sz w:val="22"/>
          <w:szCs w:val="22"/>
          <w:lang w:val="en-GB"/>
        </w:rPr>
      </w:pPr>
    </w:p>
    <w:p w:rsidR="007F6AA9" w:rsidRPr="00F9055E" w:rsidRDefault="007F6AA9" w:rsidP="00235A71">
      <w:pPr>
        <w:pStyle w:val="Blockquote"/>
        <w:jc w:val="both"/>
        <w:rPr>
          <w:sz w:val="22"/>
          <w:szCs w:val="22"/>
          <w:lang w:val="en-GB"/>
        </w:rPr>
      </w:pPr>
    </w:p>
    <w:sectPr w:rsidR="007F6AA9" w:rsidRPr="00F9055E" w:rsidSect="00E147D3">
      <w:headerReference w:type="even" r:id="rId17"/>
      <w:headerReference w:type="default" r:id="rId18"/>
      <w:footerReference w:type="even" r:id="rId19"/>
      <w:footerReference w:type="default" r:id="rId20"/>
      <w:headerReference w:type="first" r:id="rId21"/>
      <w:footerReference w:type="first" r:id="rId22"/>
      <w:pgSz w:w="12240" w:h="15840"/>
      <w:pgMar w:top="709" w:right="1440" w:bottom="1276" w:left="1418" w:header="851" w:footer="631"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41D9" w:rsidRDefault="00F841D9">
      <w:r>
        <w:separator/>
      </w:r>
    </w:p>
  </w:endnote>
  <w:endnote w:type="continuationSeparator" w:id="1">
    <w:p w:rsidR="00F841D9" w:rsidRDefault="00F841D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0B14E4">
      <w:rPr>
        <w:b/>
        <w:sz w:val="20"/>
      </w:rPr>
      <w:t>1</w:t>
    </w:r>
    <w:r w:rsidR="00711A01">
      <w:rPr>
        <w:b/>
        <w:sz w:val="20"/>
      </w:rPr>
      <w:t>.1</w:t>
    </w:r>
    <w:r w:rsidR="00EF0A8C" w:rsidRPr="00B33EE6">
      <w:rPr>
        <w:sz w:val="18"/>
        <w:szCs w:val="18"/>
        <w:lang w:val="en-GB"/>
      </w:rPr>
      <w:tab/>
      <w:t xml:space="preserve">Page </w:t>
    </w:r>
    <w:r w:rsidR="00BA1CA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BA1CAC" w:rsidRPr="00B33EE6">
      <w:rPr>
        <w:rStyle w:val="PageNumber"/>
        <w:sz w:val="18"/>
        <w:szCs w:val="18"/>
        <w:lang w:val="en-GB"/>
      </w:rPr>
      <w:fldChar w:fldCharType="separate"/>
    </w:r>
    <w:r w:rsidR="004B3D16">
      <w:rPr>
        <w:rStyle w:val="PageNumber"/>
        <w:noProof/>
        <w:sz w:val="18"/>
        <w:szCs w:val="18"/>
        <w:lang w:val="en-GB"/>
      </w:rPr>
      <w:t>6</w:t>
    </w:r>
    <w:r w:rsidR="00BA1CAC" w:rsidRPr="00B33EE6">
      <w:rPr>
        <w:rStyle w:val="PageNumber"/>
        <w:sz w:val="18"/>
        <w:szCs w:val="18"/>
        <w:lang w:val="en-GB"/>
      </w:rPr>
      <w:fldChar w:fldCharType="end"/>
    </w:r>
    <w:r w:rsidR="00B33EE6" w:rsidRPr="00B33EE6">
      <w:rPr>
        <w:rStyle w:val="PageNumber"/>
        <w:sz w:val="18"/>
        <w:szCs w:val="18"/>
        <w:lang w:val="en-GB"/>
      </w:rPr>
      <w:t xml:space="preserve"> of </w:t>
    </w:r>
    <w:fldSimple w:instr=" NUMPAGES   \* MERGEFORMAT ">
      <w:r w:rsidR="004B3D16" w:rsidRPr="004B3D16">
        <w:rPr>
          <w:rStyle w:val="PageNumber"/>
          <w:noProof/>
          <w:sz w:val="18"/>
          <w:szCs w:val="18"/>
          <w:lang w:val="en-GB"/>
        </w:rPr>
        <w:t>6</w:t>
      </w:r>
    </w:fldSimple>
  </w:p>
  <w:p w:rsidR="00EF0A8C" w:rsidRPr="00B33EE6" w:rsidRDefault="00BA1CAC" w:rsidP="007727F3">
    <w:pPr>
      <w:pStyle w:val="Footer"/>
      <w:spacing w:before="0" w:after="0"/>
      <w:rPr>
        <w:lang w:val="en-GB"/>
      </w:rPr>
    </w:pPr>
    <w:r w:rsidRPr="00B33EE6">
      <w:rPr>
        <w:sz w:val="18"/>
        <w:szCs w:val="18"/>
        <w:lang w:val="en-GB"/>
      </w:rPr>
      <w:fldChar w:fldCharType="begin"/>
    </w:r>
    <w:r w:rsidR="00EF0A8C" w:rsidRPr="00B33EE6">
      <w:rPr>
        <w:sz w:val="18"/>
        <w:szCs w:val="18"/>
        <w:lang w:val="en-GB"/>
      </w:rPr>
      <w:instrText xml:space="preserve"> FILENAME </w:instrText>
    </w:r>
    <w:r w:rsidRPr="00B33EE6">
      <w:rPr>
        <w:sz w:val="18"/>
        <w:szCs w:val="18"/>
        <w:lang w:val="en-GB"/>
      </w:rPr>
      <w:fldChar w:fldCharType="separate"/>
    </w:r>
    <w:r w:rsidR="00831982">
      <w:rPr>
        <w:noProof/>
        <w:sz w:val="18"/>
        <w:szCs w:val="18"/>
        <w:lang w:val="en-GB"/>
      </w:rPr>
      <w:t>c2</w:t>
    </w:r>
    <w:r w:rsidR="008152EF">
      <w:rPr>
        <w:noProof/>
        <w:sz w:val="18"/>
        <w:szCs w:val="18"/>
        <w:lang w:val="en-GB"/>
      </w:rPr>
      <w:t>_contractnotice_simp_</w:t>
    </w:r>
    <w:r w:rsidR="00831982">
      <w:rPr>
        <w:noProof/>
        <w:sz w:val="18"/>
        <w:szCs w:val="18"/>
        <w:lang w:val="en-GB"/>
      </w:rPr>
      <w:t>neg_</w:t>
    </w:r>
    <w:r w:rsidR="008152EF">
      <w:rPr>
        <w:noProof/>
        <w:sz w:val="18"/>
        <w:szCs w:val="18"/>
        <w:lang w:val="en-GB"/>
      </w:rPr>
      <w:t>en.doc</w:t>
    </w:r>
    <w:r w:rsidRPr="00B33EE6">
      <w:rPr>
        <w:sz w:val="18"/>
        <w:szCs w:val="18"/>
        <w:lang w:val="en-GB"/>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41D9" w:rsidRDefault="00F841D9">
      <w:r>
        <w:separator/>
      </w:r>
    </w:p>
  </w:footnote>
  <w:footnote w:type="continuationSeparator" w:id="1">
    <w:p w:rsidR="00F841D9" w:rsidRDefault="00F841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0BE758AC"/>
    <w:multiLevelType w:val="hybridMultilevel"/>
    <w:tmpl w:val="A920A29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6">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8">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59D05816"/>
    <w:multiLevelType w:val="hybridMultilevel"/>
    <w:tmpl w:val="296C58E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6">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7"/>
  </w:num>
  <w:num w:numId="34">
    <w:abstractNumId w:val="42"/>
  </w:num>
  <w:num w:numId="35">
    <w:abstractNumId w:val="36"/>
  </w:num>
  <w:num w:numId="36">
    <w:abstractNumId w:val="33"/>
  </w:num>
  <w:num w:numId="37">
    <w:abstractNumId w:val="38"/>
  </w:num>
  <w:num w:numId="38">
    <w:abstractNumId w:val="40"/>
  </w:num>
  <w:num w:numId="39">
    <w:abstractNumId w:val="44"/>
  </w:num>
  <w:num w:numId="40">
    <w:abstractNumId w:val="46"/>
  </w:num>
  <w:num w:numId="41">
    <w:abstractNumId w:val="41"/>
  </w:num>
  <w:num w:numId="42">
    <w:abstractNumId w:val="43"/>
  </w:num>
  <w:num w:numId="43">
    <w:abstractNumId w:val="39"/>
  </w:num>
  <w:num w:numId="44">
    <w:abstractNumId w:val="34"/>
  </w:num>
  <w:num w:numId="45">
    <w:abstractNumId w:val="47"/>
  </w:num>
  <w:num w:numId="46">
    <w:abstractNumId w:val="35"/>
  </w:num>
  <w:num w:numId="47">
    <w:abstractNumId w:val="4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ctiveWritingStyle w:appName="MSWord" w:lang="es-ES_tradnl"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09570"/>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34FDC"/>
    <w:rsid w:val="00042FE2"/>
    <w:rsid w:val="00051D1D"/>
    <w:rsid w:val="00063FB5"/>
    <w:rsid w:val="0007067C"/>
    <w:rsid w:val="00080900"/>
    <w:rsid w:val="00087A72"/>
    <w:rsid w:val="00095030"/>
    <w:rsid w:val="000A0D57"/>
    <w:rsid w:val="000A3758"/>
    <w:rsid w:val="000A42D9"/>
    <w:rsid w:val="000A47D7"/>
    <w:rsid w:val="000B0547"/>
    <w:rsid w:val="000B14E4"/>
    <w:rsid w:val="000B693E"/>
    <w:rsid w:val="000B7C91"/>
    <w:rsid w:val="000C1101"/>
    <w:rsid w:val="000C1522"/>
    <w:rsid w:val="000D1732"/>
    <w:rsid w:val="000D3EBF"/>
    <w:rsid w:val="000E2079"/>
    <w:rsid w:val="000E4709"/>
    <w:rsid w:val="000F0F6C"/>
    <w:rsid w:val="000F1340"/>
    <w:rsid w:val="000F5DEF"/>
    <w:rsid w:val="0010162C"/>
    <w:rsid w:val="00105302"/>
    <w:rsid w:val="00111713"/>
    <w:rsid w:val="0013314C"/>
    <w:rsid w:val="001358A6"/>
    <w:rsid w:val="001429BC"/>
    <w:rsid w:val="0014405E"/>
    <w:rsid w:val="00145CFA"/>
    <w:rsid w:val="00150687"/>
    <w:rsid w:val="001661F7"/>
    <w:rsid w:val="00171F2E"/>
    <w:rsid w:val="00180D47"/>
    <w:rsid w:val="001903F3"/>
    <w:rsid w:val="001951FE"/>
    <w:rsid w:val="001A59BB"/>
    <w:rsid w:val="001A66C2"/>
    <w:rsid w:val="001B1460"/>
    <w:rsid w:val="001B2571"/>
    <w:rsid w:val="001C21A2"/>
    <w:rsid w:val="001C64F1"/>
    <w:rsid w:val="001D19A6"/>
    <w:rsid w:val="001D55F7"/>
    <w:rsid w:val="001E50A2"/>
    <w:rsid w:val="001F0839"/>
    <w:rsid w:val="001F1546"/>
    <w:rsid w:val="001F780C"/>
    <w:rsid w:val="00201320"/>
    <w:rsid w:val="00212656"/>
    <w:rsid w:val="00213E14"/>
    <w:rsid w:val="00216179"/>
    <w:rsid w:val="00226829"/>
    <w:rsid w:val="00233B9D"/>
    <w:rsid w:val="00233DDA"/>
    <w:rsid w:val="00235A71"/>
    <w:rsid w:val="002413EA"/>
    <w:rsid w:val="00243849"/>
    <w:rsid w:val="002575AA"/>
    <w:rsid w:val="00266EB9"/>
    <w:rsid w:val="002753AD"/>
    <w:rsid w:val="00281007"/>
    <w:rsid w:val="002835A6"/>
    <w:rsid w:val="00287CC7"/>
    <w:rsid w:val="002A15ED"/>
    <w:rsid w:val="002B2145"/>
    <w:rsid w:val="002D266E"/>
    <w:rsid w:val="002D4121"/>
    <w:rsid w:val="002E1B83"/>
    <w:rsid w:val="002E2635"/>
    <w:rsid w:val="002E7D33"/>
    <w:rsid w:val="002F4E69"/>
    <w:rsid w:val="003045C3"/>
    <w:rsid w:val="00313F6B"/>
    <w:rsid w:val="00322D52"/>
    <w:rsid w:val="003232ED"/>
    <w:rsid w:val="00323BDD"/>
    <w:rsid w:val="003262FC"/>
    <w:rsid w:val="00326B16"/>
    <w:rsid w:val="00330261"/>
    <w:rsid w:val="003378F6"/>
    <w:rsid w:val="00342E7F"/>
    <w:rsid w:val="00347673"/>
    <w:rsid w:val="003574F5"/>
    <w:rsid w:val="00357E25"/>
    <w:rsid w:val="00362824"/>
    <w:rsid w:val="00363ECB"/>
    <w:rsid w:val="00364564"/>
    <w:rsid w:val="003670BA"/>
    <w:rsid w:val="003717BC"/>
    <w:rsid w:val="00373A98"/>
    <w:rsid w:val="003846BE"/>
    <w:rsid w:val="003861D9"/>
    <w:rsid w:val="0038633F"/>
    <w:rsid w:val="00386E96"/>
    <w:rsid w:val="0038796E"/>
    <w:rsid w:val="00390A54"/>
    <w:rsid w:val="0039147E"/>
    <w:rsid w:val="0039347D"/>
    <w:rsid w:val="003947E7"/>
    <w:rsid w:val="00397073"/>
    <w:rsid w:val="003A4357"/>
    <w:rsid w:val="003B0CBC"/>
    <w:rsid w:val="003B1B35"/>
    <w:rsid w:val="003C1515"/>
    <w:rsid w:val="003D1660"/>
    <w:rsid w:val="003D16FB"/>
    <w:rsid w:val="003D6CAD"/>
    <w:rsid w:val="003E782D"/>
    <w:rsid w:val="0040360C"/>
    <w:rsid w:val="004108A4"/>
    <w:rsid w:val="00424124"/>
    <w:rsid w:val="00433A3B"/>
    <w:rsid w:val="0043533D"/>
    <w:rsid w:val="00442F62"/>
    <w:rsid w:val="00452ED8"/>
    <w:rsid w:val="0045494F"/>
    <w:rsid w:val="004567DF"/>
    <w:rsid w:val="00472630"/>
    <w:rsid w:val="00473883"/>
    <w:rsid w:val="00476D80"/>
    <w:rsid w:val="00480B5C"/>
    <w:rsid w:val="00481F7B"/>
    <w:rsid w:val="004850B4"/>
    <w:rsid w:val="004901C2"/>
    <w:rsid w:val="004957E5"/>
    <w:rsid w:val="004B3D16"/>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5F3"/>
    <w:rsid w:val="005639EC"/>
    <w:rsid w:val="00565A69"/>
    <w:rsid w:val="00571687"/>
    <w:rsid w:val="00572F15"/>
    <w:rsid w:val="00573F7A"/>
    <w:rsid w:val="00584BF4"/>
    <w:rsid w:val="00584D96"/>
    <w:rsid w:val="00590ADB"/>
    <w:rsid w:val="005A21DC"/>
    <w:rsid w:val="005B35A2"/>
    <w:rsid w:val="005B4F80"/>
    <w:rsid w:val="005B5E3C"/>
    <w:rsid w:val="005C71EF"/>
    <w:rsid w:val="005D2A17"/>
    <w:rsid w:val="005D41DD"/>
    <w:rsid w:val="005E7205"/>
    <w:rsid w:val="005F776D"/>
    <w:rsid w:val="0060359F"/>
    <w:rsid w:val="0061336A"/>
    <w:rsid w:val="006309DE"/>
    <w:rsid w:val="00632BDC"/>
    <w:rsid w:val="0064390B"/>
    <w:rsid w:val="00663C6D"/>
    <w:rsid w:val="006714ED"/>
    <w:rsid w:val="006738B9"/>
    <w:rsid w:val="00674F9C"/>
    <w:rsid w:val="006751D2"/>
    <w:rsid w:val="006770CA"/>
    <w:rsid w:val="00686C3A"/>
    <w:rsid w:val="00695C9F"/>
    <w:rsid w:val="00697F82"/>
    <w:rsid w:val="006A0598"/>
    <w:rsid w:val="006A66DA"/>
    <w:rsid w:val="006A7394"/>
    <w:rsid w:val="006B2EDA"/>
    <w:rsid w:val="006B59B9"/>
    <w:rsid w:val="006C0EB6"/>
    <w:rsid w:val="006C0F37"/>
    <w:rsid w:val="006C2024"/>
    <w:rsid w:val="006D330F"/>
    <w:rsid w:val="006D6080"/>
    <w:rsid w:val="006E3377"/>
    <w:rsid w:val="006E625F"/>
    <w:rsid w:val="006F5FD0"/>
    <w:rsid w:val="006F7885"/>
    <w:rsid w:val="00703D22"/>
    <w:rsid w:val="007046C8"/>
    <w:rsid w:val="00706E7C"/>
    <w:rsid w:val="00710A38"/>
    <w:rsid w:val="00710FBE"/>
    <w:rsid w:val="00711A01"/>
    <w:rsid w:val="007121FB"/>
    <w:rsid w:val="007129D6"/>
    <w:rsid w:val="00712CB3"/>
    <w:rsid w:val="00715755"/>
    <w:rsid w:val="007471C5"/>
    <w:rsid w:val="00750FF8"/>
    <w:rsid w:val="00753FC2"/>
    <w:rsid w:val="00756C38"/>
    <w:rsid w:val="00761673"/>
    <w:rsid w:val="00761893"/>
    <w:rsid w:val="007653F4"/>
    <w:rsid w:val="00770822"/>
    <w:rsid w:val="00771F85"/>
    <w:rsid w:val="00771F97"/>
    <w:rsid w:val="007727F3"/>
    <w:rsid w:val="00780EAB"/>
    <w:rsid w:val="00781603"/>
    <w:rsid w:val="007874C8"/>
    <w:rsid w:val="00794A92"/>
    <w:rsid w:val="00796976"/>
    <w:rsid w:val="00796CC5"/>
    <w:rsid w:val="007A04AC"/>
    <w:rsid w:val="007A4037"/>
    <w:rsid w:val="007C352C"/>
    <w:rsid w:val="007D51F2"/>
    <w:rsid w:val="007D6292"/>
    <w:rsid w:val="007D761E"/>
    <w:rsid w:val="007E1A6D"/>
    <w:rsid w:val="007F095B"/>
    <w:rsid w:val="007F26E3"/>
    <w:rsid w:val="007F5383"/>
    <w:rsid w:val="007F6AA9"/>
    <w:rsid w:val="008006B4"/>
    <w:rsid w:val="00800827"/>
    <w:rsid w:val="00810582"/>
    <w:rsid w:val="00813A48"/>
    <w:rsid w:val="008152EF"/>
    <w:rsid w:val="008162F6"/>
    <w:rsid w:val="00817895"/>
    <w:rsid w:val="00817B4A"/>
    <w:rsid w:val="008272C0"/>
    <w:rsid w:val="00831982"/>
    <w:rsid w:val="008323D3"/>
    <w:rsid w:val="008351FF"/>
    <w:rsid w:val="008459D7"/>
    <w:rsid w:val="00846F87"/>
    <w:rsid w:val="00862885"/>
    <w:rsid w:val="008660AD"/>
    <w:rsid w:val="0087086B"/>
    <w:rsid w:val="00881C2D"/>
    <w:rsid w:val="00891C82"/>
    <w:rsid w:val="00894E29"/>
    <w:rsid w:val="0089693D"/>
    <w:rsid w:val="008A1184"/>
    <w:rsid w:val="008A1514"/>
    <w:rsid w:val="008B0830"/>
    <w:rsid w:val="008B77CD"/>
    <w:rsid w:val="008C3178"/>
    <w:rsid w:val="008C68A0"/>
    <w:rsid w:val="008D1243"/>
    <w:rsid w:val="008D3E45"/>
    <w:rsid w:val="008E2D12"/>
    <w:rsid w:val="008F294D"/>
    <w:rsid w:val="008F2A19"/>
    <w:rsid w:val="008F5610"/>
    <w:rsid w:val="009017AA"/>
    <w:rsid w:val="009055F3"/>
    <w:rsid w:val="009066B6"/>
    <w:rsid w:val="00907556"/>
    <w:rsid w:val="00913817"/>
    <w:rsid w:val="00925F7F"/>
    <w:rsid w:val="009260B8"/>
    <w:rsid w:val="0092731B"/>
    <w:rsid w:val="009317C0"/>
    <w:rsid w:val="009352F4"/>
    <w:rsid w:val="00936C59"/>
    <w:rsid w:val="00940E1D"/>
    <w:rsid w:val="009510CB"/>
    <w:rsid w:val="00952960"/>
    <w:rsid w:val="00954FB8"/>
    <w:rsid w:val="00956BA0"/>
    <w:rsid w:val="009707C4"/>
    <w:rsid w:val="00970A93"/>
    <w:rsid w:val="00970B01"/>
    <w:rsid w:val="00971962"/>
    <w:rsid w:val="00971CC5"/>
    <w:rsid w:val="00980AEA"/>
    <w:rsid w:val="00983C38"/>
    <w:rsid w:val="00991002"/>
    <w:rsid w:val="00994EA3"/>
    <w:rsid w:val="009A38DE"/>
    <w:rsid w:val="009B06B5"/>
    <w:rsid w:val="009B5369"/>
    <w:rsid w:val="009B69BE"/>
    <w:rsid w:val="009B784D"/>
    <w:rsid w:val="009E5BC1"/>
    <w:rsid w:val="009E5C83"/>
    <w:rsid w:val="009F0852"/>
    <w:rsid w:val="009F128B"/>
    <w:rsid w:val="009F5FB4"/>
    <w:rsid w:val="00A00BD5"/>
    <w:rsid w:val="00A021B5"/>
    <w:rsid w:val="00A02E6B"/>
    <w:rsid w:val="00A03055"/>
    <w:rsid w:val="00A046E7"/>
    <w:rsid w:val="00A04B00"/>
    <w:rsid w:val="00A11931"/>
    <w:rsid w:val="00A171EA"/>
    <w:rsid w:val="00A22177"/>
    <w:rsid w:val="00A236A4"/>
    <w:rsid w:val="00A35081"/>
    <w:rsid w:val="00A36F1C"/>
    <w:rsid w:val="00A433A6"/>
    <w:rsid w:val="00A43E7A"/>
    <w:rsid w:val="00A46ED3"/>
    <w:rsid w:val="00A504E1"/>
    <w:rsid w:val="00A666EC"/>
    <w:rsid w:val="00A779FE"/>
    <w:rsid w:val="00A77B07"/>
    <w:rsid w:val="00A84E04"/>
    <w:rsid w:val="00A85033"/>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738A7"/>
    <w:rsid w:val="00B7586A"/>
    <w:rsid w:val="00B766F9"/>
    <w:rsid w:val="00B805A5"/>
    <w:rsid w:val="00B81ECB"/>
    <w:rsid w:val="00B83DA1"/>
    <w:rsid w:val="00B84AED"/>
    <w:rsid w:val="00B87F17"/>
    <w:rsid w:val="00B90EE0"/>
    <w:rsid w:val="00B92478"/>
    <w:rsid w:val="00B9793F"/>
    <w:rsid w:val="00BA0765"/>
    <w:rsid w:val="00BA1CAC"/>
    <w:rsid w:val="00BA44A3"/>
    <w:rsid w:val="00BA7C3E"/>
    <w:rsid w:val="00BB2689"/>
    <w:rsid w:val="00BC353E"/>
    <w:rsid w:val="00BD0ECC"/>
    <w:rsid w:val="00BD65BA"/>
    <w:rsid w:val="00BD69EF"/>
    <w:rsid w:val="00BE08EC"/>
    <w:rsid w:val="00BE3544"/>
    <w:rsid w:val="00BE595A"/>
    <w:rsid w:val="00BE5F29"/>
    <w:rsid w:val="00BE783C"/>
    <w:rsid w:val="00C00D44"/>
    <w:rsid w:val="00C03AF5"/>
    <w:rsid w:val="00C04FCE"/>
    <w:rsid w:val="00C067C5"/>
    <w:rsid w:val="00C0772E"/>
    <w:rsid w:val="00C147B2"/>
    <w:rsid w:val="00C15A17"/>
    <w:rsid w:val="00C171B6"/>
    <w:rsid w:val="00C2011B"/>
    <w:rsid w:val="00C2062A"/>
    <w:rsid w:val="00C30183"/>
    <w:rsid w:val="00C316FC"/>
    <w:rsid w:val="00C3644F"/>
    <w:rsid w:val="00C36666"/>
    <w:rsid w:val="00C43AAC"/>
    <w:rsid w:val="00C460D8"/>
    <w:rsid w:val="00C52B1A"/>
    <w:rsid w:val="00C61B8C"/>
    <w:rsid w:val="00C712DE"/>
    <w:rsid w:val="00C836E5"/>
    <w:rsid w:val="00C83C65"/>
    <w:rsid w:val="00C840D0"/>
    <w:rsid w:val="00C867B9"/>
    <w:rsid w:val="00C91D67"/>
    <w:rsid w:val="00CA3B1B"/>
    <w:rsid w:val="00CB23E3"/>
    <w:rsid w:val="00CB2A5B"/>
    <w:rsid w:val="00CB759D"/>
    <w:rsid w:val="00CB7AAE"/>
    <w:rsid w:val="00CC0A41"/>
    <w:rsid w:val="00CC1718"/>
    <w:rsid w:val="00CC3BA0"/>
    <w:rsid w:val="00CC48C9"/>
    <w:rsid w:val="00CD765A"/>
    <w:rsid w:val="00CE49A1"/>
    <w:rsid w:val="00CE4FF9"/>
    <w:rsid w:val="00CF759C"/>
    <w:rsid w:val="00D00216"/>
    <w:rsid w:val="00D011CD"/>
    <w:rsid w:val="00D05CF2"/>
    <w:rsid w:val="00D14A9D"/>
    <w:rsid w:val="00D17A30"/>
    <w:rsid w:val="00D225CC"/>
    <w:rsid w:val="00D22682"/>
    <w:rsid w:val="00D240C3"/>
    <w:rsid w:val="00D2786B"/>
    <w:rsid w:val="00D32849"/>
    <w:rsid w:val="00D33DD9"/>
    <w:rsid w:val="00D434A7"/>
    <w:rsid w:val="00D46724"/>
    <w:rsid w:val="00D517A4"/>
    <w:rsid w:val="00D51C7E"/>
    <w:rsid w:val="00D542EA"/>
    <w:rsid w:val="00D549F4"/>
    <w:rsid w:val="00D6242E"/>
    <w:rsid w:val="00D64101"/>
    <w:rsid w:val="00D8773C"/>
    <w:rsid w:val="00D87D0A"/>
    <w:rsid w:val="00D93082"/>
    <w:rsid w:val="00D97139"/>
    <w:rsid w:val="00DA0ABA"/>
    <w:rsid w:val="00DC0253"/>
    <w:rsid w:val="00DC4F70"/>
    <w:rsid w:val="00DC5B31"/>
    <w:rsid w:val="00DC753D"/>
    <w:rsid w:val="00DD0CD4"/>
    <w:rsid w:val="00DE0256"/>
    <w:rsid w:val="00DE3C11"/>
    <w:rsid w:val="00DF04F0"/>
    <w:rsid w:val="00E147D3"/>
    <w:rsid w:val="00E1782A"/>
    <w:rsid w:val="00E21BC3"/>
    <w:rsid w:val="00E23A94"/>
    <w:rsid w:val="00E30BB5"/>
    <w:rsid w:val="00E31447"/>
    <w:rsid w:val="00E422A2"/>
    <w:rsid w:val="00E441A4"/>
    <w:rsid w:val="00E5220B"/>
    <w:rsid w:val="00E6172B"/>
    <w:rsid w:val="00E669EC"/>
    <w:rsid w:val="00E66A55"/>
    <w:rsid w:val="00E713DA"/>
    <w:rsid w:val="00E813B7"/>
    <w:rsid w:val="00E81C0B"/>
    <w:rsid w:val="00E81DEF"/>
    <w:rsid w:val="00E82874"/>
    <w:rsid w:val="00E845AC"/>
    <w:rsid w:val="00E867FC"/>
    <w:rsid w:val="00E9047D"/>
    <w:rsid w:val="00E92DD8"/>
    <w:rsid w:val="00E97A06"/>
    <w:rsid w:val="00EA399C"/>
    <w:rsid w:val="00EA7B74"/>
    <w:rsid w:val="00EB4C19"/>
    <w:rsid w:val="00EB74B8"/>
    <w:rsid w:val="00EC1215"/>
    <w:rsid w:val="00EC7EB7"/>
    <w:rsid w:val="00ED5FA0"/>
    <w:rsid w:val="00EE0A07"/>
    <w:rsid w:val="00EE6E92"/>
    <w:rsid w:val="00EF03C9"/>
    <w:rsid w:val="00EF0A8C"/>
    <w:rsid w:val="00EF6A28"/>
    <w:rsid w:val="00EF6B14"/>
    <w:rsid w:val="00EF6FBF"/>
    <w:rsid w:val="00F014D9"/>
    <w:rsid w:val="00F05BF1"/>
    <w:rsid w:val="00F07EE2"/>
    <w:rsid w:val="00F1778E"/>
    <w:rsid w:val="00F17A90"/>
    <w:rsid w:val="00F233FF"/>
    <w:rsid w:val="00F27C45"/>
    <w:rsid w:val="00F33C45"/>
    <w:rsid w:val="00F46873"/>
    <w:rsid w:val="00F4786D"/>
    <w:rsid w:val="00F504CC"/>
    <w:rsid w:val="00F50E8B"/>
    <w:rsid w:val="00F60220"/>
    <w:rsid w:val="00F76A8F"/>
    <w:rsid w:val="00F77C8A"/>
    <w:rsid w:val="00F841D9"/>
    <w:rsid w:val="00F86AAA"/>
    <w:rsid w:val="00F9055E"/>
    <w:rsid w:val="00F91683"/>
    <w:rsid w:val="00F91785"/>
    <w:rsid w:val="00FA17FC"/>
    <w:rsid w:val="00FB17AC"/>
    <w:rsid w:val="00FC00B1"/>
    <w:rsid w:val="00FC2715"/>
    <w:rsid w:val="00FC622D"/>
    <w:rsid w:val="00FD7C42"/>
    <w:rsid w:val="00FD7D15"/>
    <w:rsid w:val="00FE4D9A"/>
    <w:rsid w:val="00FE4E4B"/>
    <w:rsid w:val="00FE62A5"/>
    <w:rsid w:val="00FE6A9C"/>
    <w:rsid w:val="00FE6CB8"/>
    <w:rsid w:val="00FF18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5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4FDC"/>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9B5369"/>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034FDC"/>
    <w:pPr>
      <w:spacing w:before="0" w:after="0"/>
    </w:pPr>
  </w:style>
  <w:style w:type="paragraph" w:customStyle="1" w:styleId="DefinitionList">
    <w:name w:val="Definition List"/>
    <w:basedOn w:val="Normal"/>
    <w:next w:val="DefinitionTerm"/>
    <w:rsid w:val="00034FDC"/>
    <w:pPr>
      <w:spacing w:before="0" w:after="0"/>
      <w:ind w:left="360"/>
    </w:pPr>
  </w:style>
  <w:style w:type="character" w:customStyle="1" w:styleId="Definition">
    <w:name w:val="Definition"/>
    <w:rsid w:val="00034FDC"/>
    <w:rPr>
      <w:i/>
    </w:rPr>
  </w:style>
  <w:style w:type="paragraph" w:customStyle="1" w:styleId="H1">
    <w:name w:val="H1"/>
    <w:basedOn w:val="Normal"/>
    <w:next w:val="Normal"/>
    <w:rsid w:val="00034FDC"/>
    <w:pPr>
      <w:keepNext/>
      <w:outlineLvl w:val="1"/>
    </w:pPr>
    <w:rPr>
      <w:b/>
      <w:kern w:val="36"/>
      <w:sz w:val="48"/>
    </w:rPr>
  </w:style>
  <w:style w:type="paragraph" w:customStyle="1" w:styleId="H2">
    <w:name w:val="H2"/>
    <w:basedOn w:val="Normal"/>
    <w:next w:val="Normal"/>
    <w:rsid w:val="00034FDC"/>
    <w:pPr>
      <w:keepNext/>
      <w:outlineLvl w:val="2"/>
    </w:pPr>
    <w:rPr>
      <w:b/>
      <w:sz w:val="36"/>
    </w:rPr>
  </w:style>
  <w:style w:type="paragraph" w:customStyle="1" w:styleId="H3">
    <w:name w:val="H3"/>
    <w:basedOn w:val="Normal"/>
    <w:next w:val="Normal"/>
    <w:rsid w:val="00034FDC"/>
    <w:pPr>
      <w:keepNext/>
      <w:outlineLvl w:val="3"/>
    </w:pPr>
    <w:rPr>
      <w:b/>
      <w:sz w:val="28"/>
    </w:rPr>
  </w:style>
  <w:style w:type="paragraph" w:customStyle="1" w:styleId="H4">
    <w:name w:val="H4"/>
    <w:basedOn w:val="Normal"/>
    <w:next w:val="Normal"/>
    <w:rsid w:val="00034FDC"/>
    <w:pPr>
      <w:keepNext/>
      <w:outlineLvl w:val="4"/>
    </w:pPr>
    <w:rPr>
      <w:b/>
    </w:rPr>
  </w:style>
  <w:style w:type="paragraph" w:customStyle="1" w:styleId="H5">
    <w:name w:val="H5"/>
    <w:basedOn w:val="Normal"/>
    <w:next w:val="Normal"/>
    <w:rsid w:val="00034FDC"/>
    <w:pPr>
      <w:keepNext/>
      <w:outlineLvl w:val="5"/>
    </w:pPr>
    <w:rPr>
      <w:b/>
      <w:sz w:val="20"/>
    </w:rPr>
  </w:style>
  <w:style w:type="paragraph" w:customStyle="1" w:styleId="H6">
    <w:name w:val="H6"/>
    <w:basedOn w:val="Normal"/>
    <w:next w:val="Normal"/>
    <w:rsid w:val="00034FDC"/>
    <w:pPr>
      <w:keepNext/>
      <w:outlineLvl w:val="6"/>
    </w:pPr>
    <w:rPr>
      <w:b/>
      <w:sz w:val="16"/>
    </w:rPr>
  </w:style>
  <w:style w:type="paragraph" w:customStyle="1" w:styleId="Address">
    <w:name w:val="Address"/>
    <w:basedOn w:val="Normal"/>
    <w:next w:val="Normal"/>
    <w:rsid w:val="00034FDC"/>
    <w:pPr>
      <w:spacing w:before="0" w:after="0"/>
    </w:pPr>
    <w:rPr>
      <w:i/>
    </w:rPr>
  </w:style>
  <w:style w:type="paragraph" w:customStyle="1" w:styleId="Blockquote">
    <w:name w:val="Blockquote"/>
    <w:basedOn w:val="Normal"/>
    <w:rsid w:val="00034FDC"/>
    <w:pPr>
      <w:ind w:left="360" w:right="360"/>
    </w:pPr>
  </w:style>
  <w:style w:type="character" w:customStyle="1" w:styleId="CITE">
    <w:name w:val="CITE"/>
    <w:rsid w:val="00034FDC"/>
    <w:rPr>
      <w:i/>
    </w:rPr>
  </w:style>
  <w:style w:type="character" w:customStyle="1" w:styleId="CODE">
    <w:name w:val="CODE"/>
    <w:rsid w:val="00034FDC"/>
    <w:rPr>
      <w:rFonts w:ascii="Courier New" w:hAnsi="Courier New"/>
      <w:sz w:val="20"/>
    </w:rPr>
  </w:style>
  <w:style w:type="character" w:styleId="Emphasis">
    <w:name w:val="Emphasis"/>
    <w:uiPriority w:val="20"/>
    <w:qFormat/>
    <w:rsid w:val="00034FDC"/>
    <w:rPr>
      <w:i/>
    </w:rPr>
  </w:style>
  <w:style w:type="character" w:styleId="Hyperlink">
    <w:name w:val="Hyperlink"/>
    <w:rsid w:val="00034FDC"/>
    <w:rPr>
      <w:color w:val="0000FF"/>
      <w:u w:val="single"/>
    </w:rPr>
  </w:style>
  <w:style w:type="character" w:styleId="FollowedHyperlink">
    <w:name w:val="FollowedHyperlink"/>
    <w:rsid w:val="00034FDC"/>
    <w:rPr>
      <w:color w:val="800080"/>
      <w:u w:val="single"/>
    </w:rPr>
  </w:style>
  <w:style w:type="character" w:customStyle="1" w:styleId="Keyboard">
    <w:name w:val="Keyboard"/>
    <w:rsid w:val="00034FDC"/>
    <w:rPr>
      <w:rFonts w:ascii="Courier New" w:hAnsi="Courier New"/>
      <w:b/>
      <w:sz w:val="20"/>
    </w:rPr>
  </w:style>
  <w:style w:type="paragraph" w:customStyle="1" w:styleId="Preformatted">
    <w:name w:val="Preformatted"/>
    <w:basedOn w:val="Normal"/>
    <w:rsid w:val="00034FDC"/>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034FDC"/>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rsid w:val="00034FDC"/>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034FDC"/>
    <w:rPr>
      <w:rFonts w:ascii="Courier New" w:hAnsi="Courier New"/>
    </w:rPr>
  </w:style>
  <w:style w:type="character" w:styleId="Strong">
    <w:name w:val="Strong"/>
    <w:qFormat/>
    <w:rsid w:val="00034FDC"/>
    <w:rPr>
      <w:b/>
    </w:rPr>
  </w:style>
  <w:style w:type="character" w:customStyle="1" w:styleId="Typewriter">
    <w:name w:val="Typewriter"/>
    <w:rsid w:val="00034FDC"/>
    <w:rPr>
      <w:rFonts w:ascii="Courier New" w:hAnsi="Courier New"/>
      <w:sz w:val="20"/>
    </w:rPr>
  </w:style>
  <w:style w:type="character" w:customStyle="1" w:styleId="Variable">
    <w:name w:val="Variable"/>
    <w:rsid w:val="00034FDC"/>
    <w:rPr>
      <w:i/>
    </w:rPr>
  </w:style>
  <w:style w:type="character" w:customStyle="1" w:styleId="HTMLMarkup">
    <w:name w:val="HTML Markup"/>
    <w:rsid w:val="00034FDC"/>
    <w:rPr>
      <w:vanish/>
      <w:color w:val="FF0000"/>
    </w:rPr>
  </w:style>
  <w:style w:type="character" w:customStyle="1" w:styleId="Comment">
    <w:name w:val="Comment"/>
    <w:rsid w:val="00034FDC"/>
    <w:rPr>
      <w:vanish/>
    </w:rPr>
  </w:style>
  <w:style w:type="paragraph" w:styleId="DocumentMap">
    <w:name w:val="Document Map"/>
    <w:basedOn w:val="Normal"/>
    <w:semiHidden/>
    <w:rsid w:val="00034FDC"/>
    <w:pPr>
      <w:shd w:val="clear" w:color="auto" w:fill="000080"/>
    </w:pPr>
    <w:rPr>
      <w:rFonts w:ascii="Tahoma" w:hAnsi="Tahoma"/>
    </w:rPr>
  </w:style>
  <w:style w:type="paragraph" w:styleId="Header">
    <w:name w:val="header"/>
    <w:basedOn w:val="Normal"/>
    <w:rsid w:val="00034FDC"/>
    <w:pPr>
      <w:tabs>
        <w:tab w:val="center" w:pos="4320"/>
        <w:tab w:val="right" w:pos="8640"/>
      </w:tabs>
    </w:pPr>
  </w:style>
  <w:style w:type="paragraph" w:styleId="Footer">
    <w:name w:val="footer"/>
    <w:basedOn w:val="Normal"/>
    <w:link w:val="FooterChar"/>
    <w:rsid w:val="00034FDC"/>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9B5369"/>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r="http://schemas.openxmlformats.org/officeDocument/2006/relationships" xmlns:w="http://schemas.openxmlformats.org/wordprocessingml/2006/main">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A32021R1060&amp;qid=1645018135461"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eur-lex.europa.eu/legal-content/EN/TXT/?uri=CELEX:32018R1046"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ec.europa.eu/budget/graphs/inforeuro.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eli/reg/2021/1529"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ec.europa.eu/europeaid/prag/annexes.do?chapterTitleCode=A"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EN/TXT/?uri=CELEX%3A32021R1059"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F9AD7D-EC9D-422A-9E69-2F8E1B41CAA2}">
  <ds:schemaRefs>
    <ds:schemaRef ds:uri="http://schemas.openxmlformats.org/officeDocument/2006/bibliography"/>
  </ds:schemaRefs>
</ds:datastoreItem>
</file>

<file path=customXml/itemProps2.xml><?xml version="1.0" encoding="utf-8"?>
<ds:datastoreItem xmlns:ds="http://schemas.openxmlformats.org/officeDocument/2006/customXml" ds:itemID="{12AFC13C-BDAE-47F0-B5AD-3971AF0754E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F0E118-00DD-4C90-8175-E6D5AEA70A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759000-A088-4849-929E-318B87A17C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389</TotalTime>
  <Pages>6</Pages>
  <Words>1747</Words>
  <Characters>9958</Characters>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11682</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2016-05-31T08:36:00Z</cp:lastPrinted>
  <dcterms:created xsi:type="dcterms:W3CDTF">2021-06-23T07:58:00Z</dcterms:created>
  <dcterms:modified xsi:type="dcterms:W3CDTF">2025-03-18T11:56:00Z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